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10F24">
      <w:pPr>
        <w:jc w:val="center"/>
      </w:pPr>
      <w:r>
        <w:rPr>
          <w:rFonts w:hint="eastAsia"/>
          <w:b/>
          <w:sz w:val="44"/>
          <w:lang w:val="en-US" w:eastAsia="zh-CN"/>
        </w:rPr>
        <w:t>南方科技大学医院网络信息安全运维服务项目</w:t>
      </w:r>
      <w:r>
        <w:rPr>
          <w:b/>
          <w:sz w:val="44"/>
        </w:rPr>
        <w:t>需求书</w:t>
      </w:r>
    </w:p>
    <w:p w14:paraId="73AF427D">
      <w:pPr>
        <w:pStyle w:val="31"/>
      </w:pPr>
      <w:r>
        <w:t>项目背景</w:t>
      </w:r>
    </w:p>
    <w:p w14:paraId="0CB7E8A0">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随着医疗信息化建设的深入推进，医院信息系统已成为支撑医院日常运营的核心基础设施。医院信息系统承载着大量患者个人信息、医疗数据和业务流程，其安全性直接关系到医疗服务的连续性、患者隐私保护以及医院的合规运营。根据《网络安全法》《数据安全法》《个人信息保护法》《网络安全等级保护基本要求》等法律法规要求，以及国家卫生健康委员会关于医疗卫生机构网络安全管理的相关规定，医院须建立健全网络安全保障体系，确保信息系统的安全稳定运行。</w:t>
      </w:r>
    </w:p>
    <w:p w14:paraId="59B5C0A5">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2026年，医院面临日益严峻的网络安全形势，包括勒索病毒攻击、数据泄露风险、供应链安全威胁等新型安全挑战。同时，国家及地方网络安全监管部门对医疗卫生行业的网络安全检查力度持续加大，医院需满足等级保护测评、数据安全风险评估、个人信息保护影响评估等多项合规要求。为全面提升医院网络安全防护能力，保障医疗业务系统安全稳定运行，现拟采购2026年度医院安全服务项目，通过引入专业安全服务团队，提供涵盖安全驻场运营、制度体系建设、威胁监测、漏洞管理、应急响应、安全培训等全方位的安全服务，构建事前预警、事中阻断、事后溯源的一体化安全防御体系。</w:t>
      </w:r>
    </w:p>
    <w:p w14:paraId="70A7735E"/>
    <w:p w14:paraId="3D2B4FC8">
      <w:pPr>
        <w:pStyle w:val="31"/>
      </w:pPr>
      <w:r>
        <w:t>项目建设清单</w:t>
      </w:r>
    </w:p>
    <w:p w14:paraId="787CD0FB">
      <w:r>
        <w:rPr>
          <w:sz w:val="24"/>
        </w:rPr>
        <w:t>本项目安全服务建设清单如下表所示：</w:t>
      </w:r>
    </w:p>
    <w:p w14:paraId="78AE915C"/>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1"/>
        <w:gridCol w:w="1605"/>
        <w:gridCol w:w="4513"/>
        <w:gridCol w:w="1592"/>
      </w:tblGrid>
      <w:tr w14:paraId="41630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811" w:type="dxa"/>
            <w:shd w:val="clear" w:color="auto" w:fill="D9E2F3"/>
            <w:vAlign w:val="center"/>
          </w:tcPr>
          <w:p w14:paraId="2F9BA206">
            <w:pPr>
              <w:spacing w:line="48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605" w:type="dxa"/>
            <w:shd w:val="clear" w:color="auto" w:fill="D9E2F3"/>
            <w:vAlign w:val="center"/>
          </w:tcPr>
          <w:p w14:paraId="1A06756D">
            <w:pPr>
              <w:spacing w:line="48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服务类</w:t>
            </w:r>
          </w:p>
        </w:tc>
        <w:tc>
          <w:tcPr>
            <w:tcW w:w="4513" w:type="dxa"/>
            <w:shd w:val="clear" w:color="auto" w:fill="D9E2F3"/>
            <w:vAlign w:val="center"/>
          </w:tcPr>
          <w:p w14:paraId="3B9407C5">
            <w:pPr>
              <w:spacing w:line="48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服务内容及要求</w:t>
            </w:r>
          </w:p>
        </w:tc>
        <w:tc>
          <w:tcPr>
            <w:tcW w:w="1592" w:type="dxa"/>
            <w:shd w:val="clear" w:color="auto" w:fill="D9E2F3"/>
            <w:vAlign w:val="center"/>
          </w:tcPr>
          <w:p w14:paraId="6724BB17">
            <w:pPr>
              <w:spacing w:line="48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数量</w:t>
            </w:r>
          </w:p>
        </w:tc>
      </w:tr>
      <w:tr w14:paraId="0CD0A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17F0878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p>
        </w:tc>
        <w:tc>
          <w:tcPr>
            <w:tcW w:w="1605" w:type="dxa"/>
            <w:vAlign w:val="center"/>
          </w:tcPr>
          <w:p w14:paraId="4F9A55B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安全驻场</w:t>
            </w:r>
          </w:p>
        </w:tc>
        <w:tc>
          <w:tcPr>
            <w:tcW w:w="4513" w:type="dxa"/>
          </w:tcPr>
          <w:p w14:paraId="2B315525">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提供专职安全工程师1名，在现场开展安全运营工作，主要内容包括对重要设备、系统、应用安全日志进行监控分析、梳理信息资产上线前安全检测等常态化安全服务，协助处理网络安全事件和安全检查迎检等，持续挖掘潜在的安全威胁，安全预警，推动高中危安全漏洞整改，实现安全事件闭环。</w:t>
            </w:r>
          </w:p>
        </w:tc>
        <w:tc>
          <w:tcPr>
            <w:tcW w:w="1592" w:type="dxa"/>
            <w:vAlign w:val="center"/>
          </w:tcPr>
          <w:p w14:paraId="4F9E5AB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w:t>
            </w:r>
          </w:p>
        </w:tc>
      </w:tr>
      <w:tr w14:paraId="6D1B5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3223AA1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p>
        </w:tc>
        <w:tc>
          <w:tcPr>
            <w:tcW w:w="1605" w:type="dxa"/>
            <w:vAlign w:val="center"/>
          </w:tcPr>
          <w:p w14:paraId="6CE477E5">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制度体系建设与配合落实</w:t>
            </w:r>
          </w:p>
        </w:tc>
        <w:tc>
          <w:tcPr>
            <w:tcW w:w="4513" w:type="dxa"/>
          </w:tcPr>
          <w:p w14:paraId="22A70A41">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帮助医院建立完善人员管理、机房管理、网络通信、数据管理、供应链管理、安全建设、安全运维、大模型安全等制度，并督促落实和执行各项规章制度；并根据法律法规变化和实际情况，定期对安全管理制度进行评审、修订，确保持续有效和合规。</w:t>
            </w:r>
          </w:p>
        </w:tc>
        <w:tc>
          <w:tcPr>
            <w:tcW w:w="1592" w:type="dxa"/>
            <w:vAlign w:val="center"/>
          </w:tcPr>
          <w:p w14:paraId="222B26C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全年按需</w:t>
            </w:r>
          </w:p>
        </w:tc>
      </w:tr>
      <w:tr w14:paraId="19778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5F3DADCE">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p>
        </w:tc>
        <w:tc>
          <w:tcPr>
            <w:tcW w:w="1605" w:type="dxa"/>
            <w:vAlign w:val="center"/>
          </w:tcPr>
          <w:p w14:paraId="2D438C5B">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数据安全评估</w:t>
            </w:r>
          </w:p>
        </w:tc>
        <w:tc>
          <w:tcPr>
            <w:tcW w:w="4513" w:type="dxa"/>
          </w:tcPr>
          <w:p w14:paraId="0765612C">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对医院重要数据，开展数据安全风险评估，及时发现潜在风险，采取相应措施进行防范和应对，确保数据安全和个人信息安全，并输出年度数据安全风险评估报告。</w:t>
            </w:r>
          </w:p>
        </w:tc>
        <w:tc>
          <w:tcPr>
            <w:tcW w:w="1592" w:type="dxa"/>
            <w:vAlign w:val="center"/>
          </w:tcPr>
          <w:p w14:paraId="3FCA080D">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每年一次</w:t>
            </w:r>
          </w:p>
        </w:tc>
      </w:tr>
      <w:tr w14:paraId="65BB4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2DCC74F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w:t>
            </w:r>
          </w:p>
        </w:tc>
        <w:tc>
          <w:tcPr>
            <w:tcW w:w="1605" w:type="dxa"/>
            <w:vAlign w:val="center"/>
          </w:tcPr>
          <w:p w14:paraId="21E01612">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个人信息保护影响评估</w:t>
            </w:r>
          </w:p>
        </w:tc>
        <w:tc>
          <w:tcPr>
            <w:tcW w:w="4513" w:type="dxa"/>
          </w:tcPr>
          <w:p w14:paraId="01142C0D">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依法开展个人信息保护影响评估，评估数据处理目的、方式的合法性、正当性、必要性以及对个人权益的影响和安全风险，并保存评估报告和处理情况记录。</w:t>
            </w:r>
          </w:p>
        </w:tc>
        <w:tc>
          <w:tcPr>
            <w:tcW w:w="1592" w:type="dxa"/>
            <w:vAlign w:val="center"/>
          </w:tcPr>
          <w:p w14:paraId="10D39AEE">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每年一次</w:t>
            </w:r>
          </w:p>
        </w:tc>
      </w:tr>
      <w:tr w14:paraId="0B6A9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144212B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w:t>
            </w:r>
          </w:p>
        </w:tc>
        <w:tc>
          <w:tcPr>
            <w:tcW w:w="1605" w:type="dxa"/>
            <w:vAlign w:val="center"/>
          </w:tcPr>
          <w:p w14:paraId="7A948828">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7*24小时安全运营服务</w:t>
            </w:r>
          </w:p>
        </w:tc>
        <w:tc>
          <w:tcPr>
            <w:tcW w:w="4513" w:type="dxa"/>
          </w:tcPr>
          <w:p w14:paraId="724194BF">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提供7*24小时安全托管专业服务，提供基于资产、脆弱性、告警和事件的安全运营服务，通过更加高阶和专业的安全专家帮助解决人员精力不足、重保值守力量不够和协同闭环处置等常规安全工作。并提供年度20w的第三方安全保险，经专业第三方机构定责后，由安全服务疏漏导致的经济损失由保险赔付。</w:t>
            </w:r>
          </w:p>
        </w:tc>
        <w:tc>
          <w:tcPr>
            <w:tcW w:w="1592" w:type="dxa"/>
            <w:vAlign w:val="center"/>
          </w:tcPr>
          <w:p w14:paraId="029CCD36">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w:t>
            </w:r>
          </w:p>
        </w:tc>
      </w:tr>
      <w:tr w14:paraId="45653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2D21787C">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w:t>
            </w:r>
          </w:p>
        </w:tc>
        <w:tc>
          <w:tcPr>
            <w:tcW w:w="1605" w:type="dxa"/>
            <w:vAlign w:val="center"/>
          </w:tcPr>
          <w:p w14:paraId="1E035B5D">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威胁监测与主动响应</w:t>
            </w:r>
          </w:p>
        </w:tc>
        <w:tc>
          <w:tcPr>
            <w:tcW w:w="4513" w:type="dxa"/>
          </w:tcPr>
          <w:p w14:paraId="1E8B4DDC">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基于多维度数据实现全天候精准威胁检测、开展主动响应，闭环拦截内外安全威胁，构建事前预警、事中阻断、事后溯源的一体化防御体系。</w:t>
            </w:r>
          </w:p>
        </w:tc>
        <w:tc>
          <w:tcPr>
            <w:tcW w:w="1592" w:type="dxa"/>
            <w:vAlign w:val="center"/>
          </w:tcPr>
          <w:p w14:paraId="758D80F5">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7*24H</w:t>
            </w:r>
          </w:p>
        </w:tc>
      </w:tr>
      <w:tr w14:paraId="0F05F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0408A167">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7</w:t>
            </w:r>
          </w:p>
        </w:tc>
        <w:tc>
          <w:tcPr>
            <w:tcW w:w="1605" w:type="dxa"/>
            <w:vAlign w:val="center"/>
          </w:tcPr>
          <w:p w14:paraId="0A864459">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关键期值守</w:t>
            </w:r>
          </w:p>
        </w:tc>
        <w:tc>
          <w:tcPr>
            <w:tcW w:w="4513" w:type="dxa"/>
          </w:tcPr>
          <w:p w14:paraId="3092D61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启动重点保护期值守，落实“零报告”制度和24小时值班值守要求。重保期间开展重点系统、重点场景、重点科室的资产梳理、风险排查、监测值守、应急处置和整改闭环等工作。</w:t>
            </w:r>
          </w:p>
        </w:tc>
        <w:tc>
          <w:tcPr>
            <w:tcW w:w="1592" w:type="dxa"/>
            <w:vAlign w:val="center"/>
          </w:tcPr>
          <w:p w14:paraId="71E9A27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4周</w:t>
            </w:r>
          </w:p>
        </w:tc>
      </w:tr>
      <w:tr w14:paraId="1B460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3CECB2B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8</w:t>
            </w:r>
          </w:p>
        </w:tc>
        <w:tc>
          <w:tcPr>
            <w:tcW w:w="1605" w:type="dxa"/>
            <w:vAlign w:val="center"/>
          </w:tcPr>
          <w:p w14:paraId="12CCCCB2">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网络安全风险评估</w:t>
            </w:r>
          </w:p>
        </w:tc>
        <w:tc>
          <w:tcPr>
            <w:tcW w:w="4513" w:type="dxa"/>
          </w:tcPr>
          <w:p w14:paraId="1E3BA0AB">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提供网络安全风险评估服务，并提供对应报告，发现风险问题并给予解决建议。</w:t>
            </w:r>
          </w:p>
        </w:tc>
        <w:tc>
          <w:tcPr>
            <w:tcW w:w="1592" w:type="dxa"/>
            <w:vAlign w:val="center"/>
          </w:tcPr>
          <w:p w14:paraId="33710332">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每年一次</w:t>
            </w:r>
          </w:p>
        </w:tc>
      </w:tr>
      <w:tr w14:paraId="36825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2A10BB4B">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9</w:t>
            </w:r>
          </w:p>
        </w:tc>
        <w:tc>
          <w:tcPr>
            <w:tcW w:w="1605" w:type="dxa"/>
            <w:vAlign w:val="center"/>
          </w:tcPr>
          <w:p w14:paraId="75B9A7D6">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资产梳理</w:t>
            </w:r>
          </w:p>
        </w:tc>
        <w:tc>
          <w:tcPr>
            <w:tcW w:w="4513" w:type="dxa"/>
          </w:tcPr>
          <w:p w14:paraId="77DA9F13">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基于医院实际配合客户开展资产梳理工作，完善资产台账，优化台账结构等。</w:t>
            </w:r>
          </w:p>
        </w:tc>
        <w:tc>
          <w:tcPr>
            <w:tcW w:w="1592" w:type="dxa"/>
            <w:vAlign w:val="center"/>
          </w:tcPr>
          <w:p w14:paraId="18F6DA72">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全年按需</w:t>
            </w:r>
          </w:p>
        </w:tc>
      </w:tr>
      <w:tr w14:paraId="0578D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29CB5B4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10</w:t>
            </w:r>
          </w:p>
        </w:tc>
        <w:tc>
          <w:tcPr>
            <w:tcW w:w="1605" w:type="dxa"/>
            <w:vAlign w:val="center"/>
          </w:tcPr>
          <w:p w14:paraId="37CC12F6">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漏洞扫描</w:t>
            </w:r>
          </w:p>
        </w:tc>
        <w:tc>
          <w:tcPr>
            <w:tcW w:w="4513" w:type="dxa"/>
          </w:tcPr>
          <w:p w14:paraId="5305F571">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提供工具开展医院内部业务系统漏洞扫描服务。</w:t>
            </w:r>
          </w:p>
        </w:tc>
        <w:tc>
          <w:tcPr>
            <w:tcW w:w="1592" w:type="dxa"/>
            <w:vAlign w:val="center"/>
          </w:tcPr>
          <w:p w14:paraId="2B61F1A9">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全年按需</w:t>
            </w:r>
          </w:p>
        </w:tc>
      </w:tr>
      <w:tr w14:paraId="1E43D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5A72A113">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11</w:t>
            </w:r>
          </w:p>
        </w:tc>
        <w:tc>
          <w:tcPr>
            <w:tcW w:w="1605" w:type="dxa"/>
            <w:vAlign w:val="center"/>
          </w:tcPr>
          <w:p w14:paraId="1EC8BAEB">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渗透测试</w:t>
            </w:r>
          </w:p>
        </w:tc>
        <w:tc>
          <w:tcPr>
            <w:tcW w:w="4513" w:type="dxa"/>
          </w:tcPr>
          <w:p w14:paraId="77D9DA83">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提供医院内部核心重点业务系统（30个）渗透测试服务。</w:t>
            </w:r>
          </w:p>
        </w:tc>
        <w:tc>
          <w:tcPr>
            <w:tcW w:w="1592" w:type="dxa"/>
            <w:vAlign w:val="center"/>
          </w:tcPr>
          <w:p w14:paraId="04E9DC53">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每年12次</w:t>
            </w:r>
          </w:p>
        </w:tc>
      </w:tr>
      <w:tr w14:paraId="7E497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625A5B47">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12</w:t>
            </w:r>
          </w:p>
        </w:tc>
        <w:tc>
          <w:tcPr>
            <w:tcW w:w="1605" w:type="dxa"/>
            <w:vAlign w:val="center"/>
          </w:tcPr>
          <w:p w14:paraId="36A24DA7">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新系统上线检测</w:t>
            </w:r>
          </w:p>
        </w:tc>
        <w:tc>
          <w:tcPr>
            <w:tcW w:w="4513" w:type="dxa"/>
          </w:tcPr>
          <w:p w14:paraId="4200AB4E">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新系统上线前或旧系统升级后，进行全面检测，开展渗透测试、漏洞扫描、基线核查、风险评估等工作。</w:t>
            </w:r>
          </w:p>
        </w:tc>
        <w:tc>
          <w:tcPr>
            <w:tcW w:w="1592" w:type="dxa"/>
            <w:vAlign w:val="center"/>
          </w:tcPr>
          <w:p w14:paraId="41F8B80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全年按需</w:t>
            </w:r>
          </w:p>
        </w:tc>
      </w:tr>
      <w:tr w14:paraId="6B21D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17BCB4BF">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13</w:t>
            </w:r>
          </w:p>
        </w:tc>
        <w:tc>
          <w:tcPr>
            <w:tcW w:w="1605" w:type="dxa"/>
            <w:vAlign w:val="center"/>
          </w:tcPr>
          <w:p w14:paraId="508A657F">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基线核查</w:t>
            </w:r>
          </w:p>
        </w:tc>
        <w:tc>
          <w:tcPr>
            <w:tcW w:w="4513" w:type="dxa"/>
          </w:tcPr>
          <w:p w14:paraId="528516FB">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核查操作系统、中间件、数据库、安全及网络设备等配置参数和应用环境的安全性。采取必要的加固措施，加强对账号、口令、授权、日志和IP协议等关键部位的管理。</w:t>
            </w:r>
          </w:p>
        </w:tc>
        <w:tc>
          <w:tcPr>
            <w:tcW w:w="1592" w:type="dxa"/>
            <w:vAlign w:val="center"/>
          </w:tcPr>
          <w:p w14:paraId="5701F481">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每年四次</w:t>
            </w:r>
          </w:p>
        </w:tc>
      </w:tr>
      <w:tr w14:paraId="6C80A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55E33998">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14</w:t>
            </w:r>
          </w:p>
        </w:tc>
        <w:tc>
          <w:tcPr>
            <w:tcW w:w="1605" w:type="dxa"/>
            <w:vAlign w:val="center"/>
          </w:tcPr>
          <w:p w14:paraId="37352933">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安全培训</w:t>
            </w:r>
          </w:p>
        </w:tc>
        <w:tc>
          <w:tcPr>
            <w:tcW w:w="4513" w:type="dxa"/>
          </w:tcPr>
          <w:p w14:paraId="0DE2994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组织开展网络安全、数据安全、安全技能和个人信息保护宣传教育培训，提升全员安全意识和防护能力，普及法律法规及安全知识。</w:t>
            </w:r>
          </w:p>
        </w:tc>
        <w:tc>
          <w:tcPr>
            <w:tcW w:w="1592" w:type="dxa"/>
            <w:vAlign w:val="center"/>
          </w:tcPr>
          <w:p w14:paraId="196C435E">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每年两次</w:t>
            </w:r>
          </w:p>
        </w:tc>
      </w:tr>
      <w:tr w14:paraId="1BCA4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6731491C">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15</w:t>
            </w:r>
          </w:p>
        </w:tc>
        <w:tc>
          <w:tcPr>
            <w:tcW w:w="1605" w:type="dxa"/>
            <w:vAlign w:val="center"/>
          </w:tcPr>
          <w:p w14:paraId="0DAE9307">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联合检查迎检</w:t>
            </w:r>
          </w:p>
        </w:tc>
        <w:tc>
          <w:tcPr>
            <w:tcW w:w="4513" w:type="dxa"/>
          </w:tcPr>
          <w:p w14:paraId="44AE9CC3">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帮助医院应对年度市区安全检查，提供材料整理、分析、归档和展示等工作服务。</w:t>
            </w:r>
          </w:p>
        </w:tc>
        <w:tc>
          <w:tcPr>
            <w:tcW w:w="1592" w:type="dxa"/>
            <w:vAlign w:val="center"/>
          </w:tcPr>
          <w:p w14:paraId="19BF3FE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全年按需</w:t>
            </w:r>
          </w:p>
        </w:tc>
      </w:tr>
      <w:tr w14:paraId="73914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584DA97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16</w:t>
            </w:r>
          </w:p>
        </w:tc>
        <w:tc>
          <w:tcPr>
            <w:tcW w:w="1605" w:type="dxa"/>
            <w:vAlign w:val="center"/>
          </w:tcPr>
          <w:p w14:paraId="4976A867">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应急演练</w:t>
            </w:r>
          </w:p>
        </w:tc>
        <w:tc>
          <w:tcPr>
            <w:tcW w:w="4513" w:type="dxa"/>
          </w:tcPr>
          <w:p w14:paraId="0643799E">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制定网络安全、数据安全事件应急预案，组织开展应急演练；演练场景应结合数据泄露、勒索病毒、系统中断、攻击入侵等实际风险。</w:t>
            </w:r>
          </w:p>
        </w:tc>
        <w:tc>
          <w:tcPr>
            <w:tcW w:w="1592" w:type="dxa"/>
            <w:vAlign w:val="center"/>
          </w:tcPr>
          <w:p w14:paraId="6006F586">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每年两次</w:t>
            </w:r>
          </w:p>
        </w:tc>
      </w:tr>
      <w:tr w14:paraId="54ABA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6895DA01">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17</w:t>
            </w:r>
          </w:p>
        </w:tc>
        <w:tc>
          <w:tcPr>
            <w:tcW w:w="1605" w:type="dxa"/>
            <w:vAlign w:val="center"/>
          </w:tcPr>
          <w:p w14:paraId="05711D76">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应急处置</w:t>
            </w:r>
          </w:p>
        </w:tc>
        <w:tc>
          <w:tcPr>
            <w:tcW w:w="4513" w:type="dxa"/>
          </w:tcPr>
          <w:p w14:paraId="0CF0BFB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定期修订完善网络安全、数据安全、应急预案，以及核心业务系统专项应急预案，细化应急处置流程，确保网络与数据安全事件应急处置响应迅速、准确。并在医院出现安全事件时，快速协调专业人员开展应急处置工作，降低业务影响。</w:t>
            </w:r>
          </w:p>
        </w:tc>
        <w:tc>
          <w:tcPr>
            <w:tcW w:w="1592" w:type="dxa"/>
            <w:vAlign w:val="center"/>
          </w:tcPr>
          <w:p w14:paraId="66FD0A3A">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全年按需</w:t>
            </w:r>
          </w:p>
        </w:tc>
      </w:tr>
      <w:tr w14:paraId="19A64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1D6F5271">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18</w:t>
            </w:r>
          </w:p>
        </w:tc>
        <w:tc>
          <w:tcPr>
            <w:tcW w:w="1605" w:type="dxa"/>
            <w:vAlign w:val="center"/>
          </w:tcPr>
          <w:p w14:paraId="4BA6F7A9">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合规性咨询和保障</w:t>
            </w:r>
          </w:p>
        </w:tc>
        <w:tc>
          <w:tcPr>
            <w:tcW w:w="4513" w:type="dxa"/>
          </w:tcPr>
          <w:p w14:paraId="44A94684">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提供最新合规文件、政策、报告的解读和分析服务，帮助医院更好满足合规建设要求。</w:t>
            </w:r>
          </w:p>
        </w:tc>
        <w:tc>
          <w:tcPr>
            <w:tcW w:w="1592" w:type="dxa"/>
            <w:vAlign w:val="center"/>
          </w:tcPr>
          <w:p w14:paraId="73AA0EBB">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全年按需</w:t>
            </w:r>
          </w:p>
        </w:tc>
      </w:tr>
      <w:tr w14:paraId="0D495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1" w:type="dxa"/>
            <w:vAlign w:val="center"/>
          </w:tcPr>
          <w:p w14:paraId="0F281BF0">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19</w:t>
            </w:r>
          </w:p>
        </w:tc>
        <w:tc>
          <w:tcPr>
            <w:tcW w:w="1605" w:type="dxa"/>
            <w:vAlign w:val="center"/>
          </w:tcPr>
          <w:p w14:paraId="121B0755">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安全咨询规划</w:t>
            </w:r>
          </w:p>
        </w:tc>
        <w:tc>
          <w:tcPr>
            <w:tcW w:w="4513" w:type="dxa"/>
          </w:tcPr>
          <w:p w14:paraId="222A75CD">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根据国家信息安全相关标准规范对医院信息系统的规划、设计、建设、改造、验收、上线、运营以及废弃等阶段中涉及的安全问题提供顾问式安全咨询规划服务。</w:t>
            </w:r>
          </w:p>
        </w:tc>
        <w:tc>
          <w:tcPr>
            <w:tcW w:w="1592" w:type="dxa"/>
            <w:vAlign w:val="center"/>
          </w:tcPr>
          <w:p w14:paraId="6CC94E63">
            <w:pPr>
              <w:spacing w:line="480" w:lineRule="exact"/>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每年一次</w:t>
            </w:r>
          </w:p>
        </w:tc>
      </w:tr>
    </w:tbl>
    <w:p w14:paraId="4707CC8B">
      <w:pPr>
        <w:spacing w:line="480" w:lineRule="exact"/>
        <w:rPr>
          <w:rFonts w:hint="eastAsia" w:ascii="仿宋" w:hAnsi="仿宋" w:eastAsia="仿宋" w:cs="仿宋"/>
          <w:sz w:val="28"/>
          <w:szCs w:val="28"/>
          <w:vertAlign w:val="baseline"/>
          <w:lang w:val="en-US" w:eastAsia="zh-CN"/>
        </w:rPr>
      </w:pPr>
    </w:p>
    <w:p w14:paraId="1E9054AE">
      <w:pPr>
        <w:pStyle w:val="31"/>
      </w:pPr>
      <w:r>
        <w:t>项目建设内容</w:t>
      </w:r>
    </w:p>
    <w:p w14:paraId="133DE9E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2"/>
          <w:sz w:val="28"/>
          <w:szCs w:val="28"/>
          <w:lang w:val="en-US" w:eastAsia="zh-CN" w:bidi="ar-SA"/>
        </w:rPr>
      </w:pPr>
      <w:bookmarkStart w:id="0" w:name="_GoBack"/>
      <w:bookmarkEnd w:id="0"/>
      <w:r>
        <w:rPr>
          <w:rFonts w:hint="eastAsia" w:ascii="仿宋" w:hAnsi="仿宋" w:eastAsia="仿宋" w:cs="仿宋"/>
          <w:kern w:val="2"/>
          <w:sz w:val="28"/>
          <w:szCs w:val="28"/>
          <w:lang w:val="en-US" w:eastAsia="zh-CN" w:bidi="ar-SA"/>
        </w:rPr>
        <w:t>本项目围绕医院网络安全保障需求，建设内容涵盖以下六大板块：</w:t>
      </w:r>
    </w:p>
    <w:p w14:paraId="455EE48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一、安全运营与驻场服务</w:t>
      </w:r>
    </w:p>
    <w:p w14:paraId="32119694">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 安全驻场服务：提供专职安全工程师1名，全年常驻医院现场，开展安全运营工作。主要职责包括对重要设备、系统、应用安全日志进行监控分析，梳理信息资产上线前安全检测等常态化安全服务，协助处理网络安全事件和安全检查迎检等，持续挖掘潜在安全威胁，发布安全预警，推动高中危安全漏洞整改，实现安全事件闭环管理。</w:t>
      </w:r>
    </w:p>
    <w:p w14:paraId="6E1E3202">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 7*24小时安全运营服务：提供7*24小时安全托管专业服务，基于资产、脆弱性、告警和事件开展安全运营服务，通过高阶专业安全专家解决人员精力不足、重保值守力量不够和协同闭环处置等常规安全工作。同时提供年度20万元的第三方安全保险，经专业第三方机构定责后，由安全服务疏漏导致的经济损失由保险赔付。</w:t>
      </w:r>
    </w:p>
    <w:p w14:paraId="2921DBFD">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 威胁监测与主动响应：基于多维度数据实现全天候精准威胁检测，开展主动响应，闭环拦截内外安全威胁，构建事前预警、事中阻断、事后溯源的一体化防御体系。</w:t>
      </w:r>
    </w:p>
    <w:p w14:paraId="305F4E61">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 关键期值守：启动重点保护期值守，落实“零报告”制度和24小时值班值守要求。重保期间（共计4周）开展重点系统、重点场景、重点科室的资产梳理、风险排查、监测值守、应急处置和整改闭环等工作。</w:t>
      </w:r>
    </w:p>
    <w:p w14:paraId="3CEB13A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二、制度体系与合规建设</w:t>
      </w:r>
    </w:p>
    <w:p w14:paraId="43CAEDA2">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 制度体系建设与配合落实：帮助医院建立完善人员管理、机房管理、网络通信、数据管理、供应链管理、安全建设、安全运维、大模型安全等制度体系，并督促落实和执行各项规章制度。根据法律法规变化和实际情况，定期对安全管理制度进行评审、修订，确保持续有效和合规。</w:t>
      </w:r>
    </w:p>
    <w:p w14:paraId="02440ADB">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 合规性咨询和保障：提供最新合规文件、政策、报告的解读和分析服务，帮助医院更好满足合规建设要求，确保医院信息系统符合国家网络安全等级保护、数据安全和个人信息保护等相关法律法规要求。</w:t>
      </w:r>
    </w:p>
    <w:p w14:paraId="53ED7291">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 安全咨询规划：根据国家信息安全相关标准规范，对医院信息系统的规划、设计、建设、改造、验收、上线、运营以及废弃等阶段中涉及的安全问题提供顾问式安全咨询规划服务。</w:t>
      </w:r>
    </w:p>
    <w:p w14:paraId="068CEAF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三、安全评估与检测</w:t>
      </w:r>
    </w:p>
    <w:p w14:paraId="6514CC70">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 数据安全评估：对医院重要数据开展数据安全风险评估，及时发现潜在风险，采取相应措施进行防范和应对，确保数据安全和个人信息安全，并输出年度数据安全风险评估报告。</w:t>
      </w:r>
    </w:p>
    <w:p w14:paraId="627CF06D">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 个人信息保护影响评估：依法开展个人信息保护影响评估，评估数据处理目的、方式的合法性、正当性、必要性以及对个人权益的影响和安全风险，并保存评估报告和处理情况记录。</w:t>
      </w:r>
    </w:p>
    <w:p w14:paraId="1684FB4D">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 网络安全风险评估：提供网络安全风险评估服务，并提供对应报告，发现风险问题并给予解决建议，帮助医院全面掌握网络安全风险状况。</w:t>
      </w:r>
    </w:p>
    <w:p w14:paraId="26471099">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 漏洞扫描：提供专业工具开展医院内部业务系统漏洞扫描服务，全年按需执行，及时发现并修复系统漏洞。</w:t>
      </w:r>
    </w:p>
    <w:p w14:paraId="043478A0">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 渗透测试：提供医院内部核心重点业务系统（30个）渗透测试服务，每年12次，模拟真实攻击场景，深度挖掘安全漏洞。</w:t>
      </w:r>
    </w:p>
    <w:p w14:paraId="3C8C6BBE">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6. 新系统上线检测：新系统上线前或旧系统升级后，进行全面检测，开展渗透测试、漏洞扫描、基线核查、风险评估等工作，确保系统安全后方可上线运行。</w:t>
      </w:r>
    </w:p>
    <w:p w14:paraId="2A1280F5">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7. 基线核查：核查操作系统、中间件、数据库、安全及网络设备等配置参数和应用环境的安全性，每年四次。采取必要的加固措施，加强对账号、口令、授权、日志和IP协议等关键部位的管理。</w:t>
      </w:r>
    </w:p>
    <w:p w14:paraId="17C6550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四、资产管理与风险排查</w:t>
      </w:r>
    </w:p>
    <w:p w14:paraId="16552578">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 资产梳理：基于医院实际配合客户开展资产梳理工作，完善资产台账，优化台账结构，全面摸清医院信息资产底数，为安全运营提供基础支撑。</w:t>
      </w:r>
    </w:p>
    <w:p w14:paraId="62A40F4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五、应急管理与演练</w:t>
      </w:r>
    </w:p>
    <w:p w14:paraId="4DD2CA6F">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 应急演练：制定网络安全、数据安全事件应急预案，每年组织开展两次应急演练。演练场景应结合数据泄露、勒索病毒、系统中断、攻击入侵等实际风险，检验应急预案的有效性和可操作性。</w:t>
      </w:r>
    </w:p>
    <w:p w14:paraId="03FA407D">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 应急处置：定期修订完善网络安全、数据安全、应急预案，以及核心业务系统专项应急预案，细化应急处置流程，确保网络与数据安全事件应急处置响应迅速、准确。在医院出现安全事件时，快速协调专业人员开展应急处置工作，降低业务影响。</w:t>
      </w:r>
    </w:p>
    <w:p w14:paraId="1F8332D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六、安全培训与检查迎检</w:t>
      </w:r>
    </w:p>
    <w:p w14:paraId="64511F61">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 安全培训：组织开展网络安全、数据安全、安全技能和个人信息保护宣传教育培训，每年两次，提升全员安全意识和防护能力，普及法律法规及安全知识。</w:t>
      </w:r>
    </w:p>
    <w:p w14:paraId="56B0B63C">
      <w:pPr>
        <w:pStyle w:val="2"/>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 联合检查迎检：帮助医院应对年度市区安全检查，提供材料整理、分析、归档和展示等工作服务，确保医院顺利通过各级安全检查。</w:t>
      </w:r>
    </w:p>
    <w:p w14:paraId="1AD37CC8">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kern w:val="2"/>
          <w:sz w:val="28"/>
          <w:szCs w:val="28"/>
          <w:lang w:val="en-US" w:eastAsia="zh-CN" w:bidi="ar-SA"/>
        </w:rPr>
      </w:pPr>
    </w:p>
    <w:p w14:paraId="621FC732">
      <w:pPr>
        <w:pStyle w:val="31"/>
      </w:pPr>
      <w:r>
        <w:t>项目预算说明</w:t>
      </w:r>
    </w:p>
    <w:p w14:paraId="54DC044E">
      <w:pPr>
        <w:pStyle w:val="2"/>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pPr>
      <w:r>
        <w:rPr>
          <w:sz w:val="24"/>
        </w:rPr>
        <w:t>根据建设内容给出项目申请预算表或给出市场询价报告（不限于其他医院类似项目的合同价，相关网站类似项目中标价或咨询相关厂家报价）。</w:t>
      </w:r>
    </w:p>
    <w:p w14:paraId="66A295DA"/>
    <w:p w14:paraId="44A8E1D1">
      <w:r>
        <w:rPr>
          <w:b/>
          <w:sz w:val="24"/>
        </w:rPr>
        <w:t>项目预算明细表：</w:t>
      </w:r>
    </w:p>
    <w:p w14:paraId="2F2EB7A0"/>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3"/>
        <w:gridCol w:w="2610"/>
        <w:gridCol w:w="3000"/>
        <w:gridCol w:w="1991"/>
      </w:tblGrid>
      <w:tr w14:paraId="71356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703" w:type="dxa"/>
            <w:shd w:val="clear" w:color="auto" w:fill="D9E2F3"/>
            <w:vAlign w:val="center"/>
          </w:tcPr>
          <w:p w14:paraId="49DE2F46">
            <w:pPr>
              <w:jc w:val="center"/>
            </w:pPr>
            <w:r>
              <w:rPr>
                <w:b/>
                <w:sz w:val="22"/>
              </w:rPr>
              <w:t>序号</w:t>
            </w:r>
          </w:p>
        </w:tc>
        <w:tc>
          <w:tcPr>
            <w:tcW w:w="2610" w:type="dxa"/>
            <w:shd w:val="clear" w:color="auto" w:fill="D9E2F3"/>
            <w:vAlign w:val="center"/>
          </w:tcPr>
          <w:p w14:paraId="494D6D92">
            <w:pPr>
              <w:jc w:val="center"/>
            </w:pPr>
            <w:r>
              <w:rPr>
                <w:b/>
                <w:sz w:val="22"/>
              </w:rPr>
              <w:t>服务项目</w:t>
            </w:r>
          </w:p>
        </w:tc>
        <w:tc>
          <w:tcPr>
            <w:tcW w:w="3000" w:type="dxa"/>
            <w:shd w:val="clear" w:color="auto" w:fill="D9E2F3"/>
            <w:vAlign w:val="center"/>
          </w:tcPr>
          <w:p w14:paraId="6F6F659B">
            <w:pPr>
              <w:jc w:val="center"/>
            </w:pPr>
            <w:r>
              <w:rPr>
                <w:b/>
                <w:sz w:val="22"/>
              </w:rPr>
              <w:t>服务内容简述</w:t>
            </w:r>
          </w:p>
        </w:tc>
        <w:tc>
          <w:tcPr>
            <w:tcW w:w="1991" w:type="dxa"/>
            <w:shd w:val="clear" w:color="auto" w:fill="D9E2F3"/>
            <w:vAlign w:val="center"/>
          </w:tcPr>
          <w:p w14:paraId="007BED35">
            <w:pPr>
              <w:jc w:val="center"/>
            </w:pPr>
            <w:r>
              <w:rPr>
                <w:b/>
                <w:sz w:val="22"/>
              </w:rPr>
              <w:t>预算金额（万元）</w:t>
            </w:r>
          </w:p>
        </w:tc>
      </w:tr>
      <w:tr w14:paraId="47D71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3DE7A8B8">
            <w:pPr>
              <w:jc w:val="center"/>
            </w:pPr>
            <w:r>
              <w:rPr>
                <w:sz w:val="21"/>
              </w:rPr>
              <w:t>1</w:t>
            </w:r>
          </w:p>
        </w:tc>
        <w:tc>
          <w:tcPr>
            <w:tcW w:w="2610" w:type="dxa"/>
            <w:vAlign w:val="center"/>
          </w:tcPr>
          <w:p w14:paraId="35088131">
            <w:pPr>
              <w:jc w:val="center"/>
            </w:pPr>
            <w:r>
              <w:rPr>
                <w:sz w:val="21"/>
              </w:rPr>
              <w:t>安全驻场服务</w:t>
            </w:r>
          </w:p>
        </w:tc>
        <w:tc>
          <w:tcPr>
            <w:tcW w:w="3000" w:type="dxa"/>
            <w:vAlign w:val="center"/>
          </w:tcPr>
          <w:p w14:paraId="5D9F4056">
            <w:pPr>
              <w:jc w:val="center"/>
            </w:pPr>
            <w:r>
              <w:rPr>
                <w:sz w:val="21"/>
              </w:rPr>
              <w:t>专职安全工程师1名全年驻场运营</w:t>
            </w:r>
          </w:p>
        </w:tc>
        <w:tc>
          <w:tcPr>
            <w:tcW w:w="1991" w:type="dxa"/>
            <w:vAlign w:val="center"/>
          </w:tcPr>
          <w:p w14:paraId="416E307E">
            <w:pPr>
              <w:jc w:val="center"/>
            </w:pPr>
            <w:r>
              <w:rPr>
                <w:sz w:val="21"/>
              </w:rPr>
              <w:t>待询价</w:t>
            </w:r>
          </w:p>
        </w:tc>
      </w:tr>
      <w:tr w14:paraId="5673F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5ADB51D7">
            <w:pPr>
              <w:jc w:val="center"/>
            </w:pPr>
            <w:r>
              <w:rPr>
                <w:sz w:val="21"/>
              </w:rPr>
              <w:t>2</w:t>
            </w:r>
          </w:p>
        </w:tc>
        <w:tc>
          <w:tcPr>
            <w:tcW w:w="2610" w:type="dxa"/>
            <w:vAlign w:val="center"/>
          </w:tcPr>
          <w:p w14:paraId="4A4B004E">
            <w:pPr>
              <w:jc w:val="center"/>
            </w:pPr>
            <w:r>
              <w:rPr>
                <w:sz w:val="21"/>
              </w:rPr>
              <w:t>7*24小时安全运营服务</w:t>
            </w:r>
          </w:p>
        </w:tc>
        <w:tc>
          <w:tcPr>
            <w:tcW w:w="3000" w:type="dxa"/>
            <w:vAlign w:val="center"/>
          </w:tcPr>
          <w:p w14:paraId="70169AAE">
            <w:pPr>
              <w:jc w:val="center"/>
            </w:pPr>
            <w:r>
              <w:rPr>
                <w:sz w:val="21"/>
              </w:rPr>
              <w:t>全天候安全托管服务+20万第三方安全保险</w:t>
            </w:r>
          </w:p>
        </w:tc>
        <w:tc>
          <w:tcPr>
            <w:tcW w:w="1991" w:type="dxa"/>
            <w:vAlign w:val="center"/>
          </w:tcPr>
          <w:p w14:paraId="15D09FC5">
            <w:pPr>
              <w:jc w:val="center"/>
            </w:pPr>
            <w:r>
              <w:rPr>
                <w:sz w:val="21"/>
              </w:rPr>
              <w:t>待询价</w:t>
            </w:r>
          </w:p>
        </w:tc>
      </w:tr>
      <w:tr w14:paraId="57793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420EC14B">
            <w:pPr>
              <w:jc w:val="center"/>
            </w:pPr>
            <w:r>
              <w:rPr>
                <w:sz w:val="21"/>
              </w:rPr>
              <w:t>3</w:t>
            </w:r>
          </w:p>
        </w:tc>
        <w:tc>
          <w:tcPr>
            <w:tcW w:w="2610" w:type="dxa"/>
            <w:vAlign w:val="center"/>
          </w:tcPr>
          <w:p w14:paraId="2CD999F2">
            <w:pPr>
              <w:jc w:val="center"/>
            </w:pPr>
            <w:r>
              <w:rPr>
                <w:sz w:val="21"/>
              </w:rPr>
              <w:t>威胁监测与主动响应</w:t>
            </w:r>
          </w:p>
        </w:tc>
        <w:tc>
          <w:tcPr>
            <w:tcW w:w="3000" w:type="dxa"/>
            <w:vAlign w:val="center"/>
          </w:tcPr>
          <w:p w14:paraId="5A9541DD">
            <w:pPr>
              <w:jc w:val="center"/>
            </w:pPr>
            <w:r>
              <w:rPr>
                <w:sz w:val="21"/>
              </w:rPr>
              <w:t>7*24H威胁检测与主动响应</w:t>
            </w:r>
          </w:p>
        </w:tc>
        <w:tc>
          <w:tcPr>
            <w:tcW w:w="1991" w:type="dxa"/>
            <w:vAlign w:val="center"/>
          </w:tcPr>
          <w:p w14:paraId="3CAC983A">
            <w:pPr>
              <w:jc w:val="center"/>
            </w:pPr>
            <w:r>
              <w:rPr>
                <w:sz w:val="21"/>
              </w:rPr>
              <w:t>待询价</w:t>
            </w:r>
          </w:p>
        </w:tc>
      </w:tr>
      <w:tr w14:paraId="4108F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36E7E607">
            <w:pPr>
              <w:jc w:val="center"/>
            </w:pPr>
            <w:r>
              <w:rPr>
                <w:sz w:val="21"/>
              </w:rPr>
              <w:t>4</w:t>
            </w:r>
          </w:p>
        </w:tc>
        <w:tc>
          <w:tcPr>
            <w:tcW w:w="2610" w:type="dxa"/>
            <w:vAlign w:val="center"/>
          </w:tcPr>
          <w:p w14:paraId="7C333B6D">
            <w:pPr>
              <w:jc w:val="center"/>
            </w:pPr>
            <w:r>
              <w:rPr>
                <w:sz w:val="21"/>
              </w:rPr>
              <w:t>关键期值守</w:t>
            </w:r>
          </w:p>
        </w:tc>
        <w:tc>
          <w:tcPr>
            <w:tcW w:w="3000" w:type="dxa"/>
            <w:vAlign w:val="center"/>
          </w:tcPr>
          <w:p w14:paraId="7C82F384">
            <w:pPr>
              <w:jc w:val="center"/>
            </w:pPr>
            <w:r>
              <w:rPr>
                <w:sz w:val="21"/>
              </w:rPr>
              <w:t>4周重保值守服务</w:t>
            </w:r>
          </w:p>
        </w:tc>
        <w:tc>
          <w:tcPr>
            <w:tcW w:w="1991" w:type="dxa"/>
            <w:vAlign w:val="center"/>
          </w:tcPr>
          <w:p w14:paraId="3FEFC832">
            <w:pPr>
              <w:jc w:val="center"/>
            </w:pPr>
            <w:r>
              <w:rPr>
                <w:sz w:val="21"/>
              </w:rPr>
              <w:t>待询价</w:t>
            </w:r>
          </w:p>
        </w:tc>
      </w:tr>
      <w:tr w14:paraId="423B7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322307C2">
            <w:pPr>
              <w:jc w:val="center"/>
            </w:pPr>
            <w:r>
              <w:rPr>
                <w:sz w:val="21"/>
              </w:rPr>
              <w:t>5</w:t>
            </w:r>
          </w:p>
        </w:tc>
        <w:tc>
          <w:tcPr>
            <w:tcW w:w="2610" w:type="dxa"/>
            <w:vAlign w:val="center"/>
          </w:tcPr>
          <w:p w14:paraId="59830751">
            <w:pPr>
              <w:jc w:val="center"/>
            </w:pPr>
            <w:r>
              <w:rPr>
                <w:sz w:val="21"/>
              </w:rPr>
              <w:t>制度体系建设与合规咨询</w:t>
            </w:r>
          </w:p>
        </w:tc>
        <w:tc>
          <w:tcPr>
            <w:tcW w:w="3000" w:type="dxa"/>
            <w:vAlign w:val="center"/>
          </w:tcPr>
          <w:p w14:paraId="7745E6BC">
            <w:pPr>
              <w:jc w:val="center"/>
            </w:pPr>
            <w:r>
              <w:rPr>
                <w:sz w:val="21"/>
              </w:rPr>
              <w:t>安全制度体系建设+合规性咨询+安全咨询规划</w:t>
            </w:r>
          </w:p>
        </w:tc>
        <w:tc>
          <w:tcPr>
            <w:tcW w:w="1991" w:type="dxa"/>
            <w:vAlign w:val="center"/>
          </w:tcPr>
          <w:p w14:paraId="341AD851">
            <w:pPr>
              <w:jc w:val="center"/>
            </w:pPr>
            <w:r>
              <w:rPr>
                <w:sz w:val="21"/>
              </w:rPr>
              <w:t>待询价</w:t>
            </w:r>
          </w:p>
        </w:tc>
      </w:tr>
      <w:tr w14:paraId="1B15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362DBF28">
            <w:pPr>
              <w:jc w:val="center"/>
            </w:pPr>
            <w:r>
              <w:rPr>
                <w:sz w:val="21"/>
              </w:rPr>
              <w:t>6</w:t>
            </w:r>
          </w:p>
        </w:tc>
        <w:tc>
          <w:tcPr>
            <w:tcW w:w="2610" w:type="dxa"/>
            <w:vAlign w:val="center"/>
          </w:tcPr>
          <w:p w14:paraId="0EAD4EAB">
            <w:pPr>
              <w:jc w:val="center"/>
            </w:pPr>
            <w:r>
              <w:rPr>
                <w:sz w:val="21"/>
              </w:rPr>
              <w:t>数据安全评估</w:t>
            </w:r>
          </w:p>
        </w:tc>
        <w:tc>
          <w:tcPr>
            <w:tcW w:w="3000" w:type="dxa"/>
            <w:vAlign w:val="center"/>
          </w:tcPr>
          <w:p w14:paraId="2D64CD38">
            <w:pPr>
              <w:jc w:val="center"/>
            </w:pPr>
            <w:r>
              <w:rPr>
                <w:sz w:val="21"/>
              </w:rPr>
              <w:t>年度数据安全风险评估报告</w:t>
            </w:r>
          </w:p>
        </w:tc>
        <w:tc>
          <w:tcPr>
            <w:tcW w:w="1991" w:type="dxa"/>
            <w:vAlign w:val="center"/>
          </w:tcPr>
          <w:p w14:paraId="0A628493">
            <w:pPr>
              <w:jc w:val="center"/>
            </w:pPr>
            <w:r>
              <w:rPr>
                <w:sz w:val="21"/>
              </w:rPr>
              <w:t>待询价</w:t>
            </w:r>
          </w:p>
        </w:tc>
      </w:tr>
      <w:tr w14:paraId="3BB2C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50C8058D">
            <w:pPr>
              <w:jc w:val="center"/>
            </w:pPr>
            <w:r>
              <w:rPr>
                <w:sz w:val="21"/>
              </w:rPr>
              <w:t>7</w:t>
            </w:r>
          </w:p>
        </w:tc>
        <w:tc>
          <w:tcPr>
            <w:tcW w:w="2610" w:type="dxa"/>
            <w:vAlign w:val="center"/>
          </w:tcPr>
          <w:p w14:paraId="1484DDBA">
            <w:pPr>
              <w:jc w:val="center"/>
            </w:pPr>
            <w:r>
              <w:rPr>
                <w:sz w:val="21"/>
              </w:rPr>
              <w:t>个人信息保护影响评估</w:t>
            </w:r>
          </w:p>
        </w:tc>
        <w:tc>
          <w:tcPr>
            <w:tcW w:w="3000" w:type="dxa"/>
            <w:vAlign w:val="center"/>
          </w:tcPr>
          <w:p w14:paraId="0538958C">
            <w:pPr>
              <w:jc w:val="center"/>
            </w:pPr>
            <w:r>
              <w:rPr>
                <w:sz w:val="21"/>
              </w:rPr>
              <w:t>年度个人信息保护影响评估报告</w:t>
            </w:r>
          </w:p>
        </w:tc>
        <w:tc>
          <w:tcPr>
            <w:tcW w:w="1991" w:type="dxa"/>
            <w:vAlign w:val="center"/>
          </w:tcPr>
          <w:p w14:paraId="3C38824D">
            <w:pPr>
              <w:jc w:val="center"/>
            </w:pPr>
            <w:r>
              <w:rPr>
                <w:sz w:val="21"/>
              </w:rPr>
              <w:t>待询价</w:t>
            </w:r>
          </w:p>
        </w:tc>
      </w:tr>
      <w:tr w14:paraId="6B47A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09867980">
            <w:pPr>
              <w:jc w:val="center"/>
            </w:pPr>
            <w:r>
              <w:rPr>
                <w:sz w:val="21"/>
              </w:rPr>
              <w:t>8</w:t>
            </w:r>
          </w:p>
        </w:tc>
        <w:tc>
          <w:tcPr>
            <w:tcW w:w="2610" w:type="dxa"/>
            <w:vAlign w:val="center"/>
          </w:tcPr>
          <w:p w14:paraId="76522B84">
            <w:pPr>
              <w:jc w:val="center"/>
            </w:pPr>
            <w:r>
              <w:rPr>
                <w:sz w:val="21"/>
              </w:rPr>
              <w:t>网络安全风险评估</w:t>
            </w:r>
          </w:p>
        </w:tc>
        <w:tc>
          <w:tcPr>
            <w:tcW w:w="3000" w:type="dxa"/>
            <w:vAlign w:val="center"/>
          </w:tcPr>
          <w:p w14:paraId="0D4DB640">
            <w:pPr>
              <w:jc w:val="center"/>
            </w:pPr>
            <w:r>
              <w:rPr>
                <w:sz w:val="21"/>
              </w:rPr>
              <w:t>年度网络安全风险评估及报告</w:t>
            </w:r>
          </w:p>
        </w:tc>
        <w:tc>
          <w:tcPr>
            <w:tcW w:w="1991" w:type="dxa"/>
            <w:vAlign w:val="center"/>
          </w:tcPr>
          <w:p w14:paraId="095B063B">
            <w:pPr>
              <w:jc w:val="center"/>
            </w:pPr>
            <w:r>
              <w:rPr>
                <w:sz w:val="21"/>
              </w:rPr>
              <w:t>待询价</w:t>
            </w:r>
          </w:p>
        </w:tc>
      </w:tr>
      <w:tr w14:paraId="291B4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7C16A714">
            <w:pPr>
              <w:jc w:val="center"/>
            </w:pPr>
            <w:r>
              <w:rPr>
                <w:sz w:val="21"/>
              </w:rPr>
              <w:t>9</w:t>
            </w:r>
          </w:p>
        </w:tc>
        <w:tc>
          <w:tcPr>
            <w:tcW w:w="2610" w:type="dxa"/>
            <w:vAlign w:val="center"/>
          </w:tcPr>
          <w:p w14:paraId="0D00DA4B">
            <w:pPr>
              <w:jc w:val="center"/>
            </w:pPr>
            <w:r>
              <w:rPr>
                <w:sz w:val="21"/>
              </w:rPr>
              <w:t>漏洞扫描</w:t>
            </w:r>
          </w:p>
        </w:tc>
        <w:tc>
          <w:tcPr>
            <w:tcW w:w="3000" w:type="dxa"/>
            <w:vAlign w:val="center"/>
          </w:tcPr>
          <w:p w14:paraId="71D2BD4D">
            <w:pPr>
              <w:jc w:val="center"/>
            </w:pPr>
            <w:r>
              <w:rPr>
                <w:sz w:val="21"/>
              </w:rPr>
              <w:t>全年按需业务系统漏洞扫描</w:t>
            </w:r>
          </w:p>
        </w:tc>
        <w:tc>
          <w:tcPr>
            <w:tcW w:w="1991" w:type="dxa"/>
            <w:vAlign w:val="center"/>
          </w:tcPr>
          <w:p w14:paraId="61D8109A">
            <w:pPr>
              <w:jc w:val="center"/>
            </w:pPr>
            <w:r>
              <w:rPr>
                <w:sz w:val="21"/>
              </w:rPr>
              <w:t>待询价</w:t>
            </w:r>
          </w:p>
        </w:tc>
      </w:tr>
      <w:tr w14:paraId="6050A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4E009A57">
            <w:pPr>
              <w:jc w:val="center"/>
            </w:pPr>
            <w:r>
              <w:rPr>
                <w:sz w:val="21"/>
              </w:rPr>
              <w:t>10</w:t>
            </w:r>
          </w:p>
        </w:tc>
        <w:tc>
          <w:tcPr>
            <w:tcW w:w="2610" w:type="dxa"/>
            <w:vAlign w:val="center"/>
          </w:tcPr>
          <w:p w14:paraId="50100763">
            <w:pPr>
              <w:jc w:val="center"/>
            </w:pPr>
            <w:r>
              <w:rPr>
                <w:sz w:val="21"/>
              </w:rPr>
              <w:t>渗透测试</w:t>
            </w:r>
          </w:p>
        </w:tc>
        <w:tc>
          <w:tcPr>
            <w:tcW w:w="3000" w:type="dxa"/>
            <w:vAlign w:val="center"/>
          </w:tcPr>
          <w:p w14:paraId="6633DCC3">
            <w:pPr>
              <w:jc w:val="center"/>
            </w:pPr>
            <w:r>
              <w:rPr>
                <w:sz w:val="21"/>
              </w:rPr>
              <w:t>30个核心业务系统每年12次</w:t>
            </w:r>
          </w:p>
        </w:tc>
        <w:tc>
          <w:tcPr>
            <w:tcW w:w="1991" w:type="dxa"/>
            <w:vAlign w:val="center"/>
          </w:tcPr>
          <w:p w14:paraId="6CD4170F">
            <w:pPr>
              <w:jc w:val="center"/>
            </w:pPr>
            <w:r>
              <w:rPr>
                <w:sz w:val="21"/>
              </w:rPr>
              <w:t>待询价</w:t>
            </w:r>
          </w:p>
        </w:tc>
      </w:tr>
      <w:tr w14:paraId="3E920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03FA20FC">
            <w:pPr>
              <w:jc w:val="center"/>
            </w:pPr>
            <w:r>
              <w:rPr>
                <w:sz w:val="21"/>
              </w:rPr>
              <w:t>11</w:t>
            </w:r>
          </w:p>
        </w:tc>
        <w:tc>
          <w:tcPr>
            <w:tcW w:w="2610" w:type="dxa"/>
            <w:vAlign w:val="center"/>
          </w:tcPr>
          <w:p w14:paraId="55DF2C14">
            <w:pPr>
              <w:jc w:val="center"/>
            </w:pPr>
            <w:r>
              <w:rPr>
                <w:sz w:val="21"/>
              </w:rPr>
              <w:t>新系统上线检测</w:t>
            </w:r>
          </w:p>
        </w:tc>
        <w:tc>
          <w:tcPr>
            <w:tcW w:w="3000" w:type="dxa"/>
            <w:vAlign w:val="center"/>
          </w:tcPr>
          <w:p w14:paraId="107FA716">
            <w:pPr>
              <w:jc w:val="center"/>
            </w:pPr>
            <w:r>
              <w:rPr>
                <w:sz w:val="21"/>
              </w:rPr>
              <w:t>全年按需上线安全检测</w:t>
            </w:r>
          </w:p>
        </w:tc>
        <w:tc>
          <w:tcPr>
            <w:tcW w:w="1991" w:type="dxa"/>
            <w:vAlign w:val="center"/>
          </w:tcPr>
          <w:p w14:paraId="5CC94D90">
            <w:pPr>
              <w:jc w:val="center"/>
            </w:pPr>
            <w:r>
              <w:rPr>
                <w:sz w:val="21"/>
              </w:rPr>
              <w:t>待询价</w:t>
            </w:r>
          </w:p>
        </w:tc>
      </w:tr>
      <w:tr w14:paraId="65873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51931B75">
            <w:pPr>
              <w:jc w:val="center"/>
            </w:pPr>
            <w:r>
              <w:rPr>
                <w:sz w:val="21"/>
              </w:rPr>
              <w:t>12</w:t>
            </w:r>
          </w:p>
        </w:tc>
        <w:tc>
          <w:tcPr>
            <w:tcW w:w="2610" w:type="dxa"/>
            <w:vAlign w:val="center"/>
          </w:tcPr>
          <w:p w14:paraId="3BF0DA07">
            <w:pPr>
              <w:jc w:val="center"/>
            </w:pPr>
            <w:r>
              <w:rPr>
                <w:sz w:val="21"/>
              </w:rPr>
              <w:t>基线核查</w:t>
            </w:r>
          </w:p>
        </w:tc>
        <w:tc>
          <w:tcPr>
            <w:tcW w:w="3000" w:type="dxa"/>
            <w:vAlign w:val="center"/>
          </w:tcPr>
          <w:p w14:paraId="63B1C423">
            <w:pPr>
              <w:jc w:val="center"/>
            </w:pPr>
            <w:r>
              <w:rPr>
                <w:sz w:val="21"/>
              </w:rPr>
              <w:t>每年四次基线核查与加固</w:t>
            </w:r>
          </w:p>
        </w:tc>
        <w:tc>
          <w:tcPr>
            <w:tcW w:w="1991" w:type="dxa"/>
            <w:vAlign w:val="center"/>
          </w:tcPr>
          <w:p w14:paraId="3A2A4EE5">
            <w:pPr>
              <w:jc w:val="center"/>
            </w:pPr>
            <w:r>
              <w:rPr>
                <w:sz w:val="21"/>
              </w:rPr>
              <w:t>待询价</w:t>
            </w:r>
          </w:p>
        </w:tc>
      </w:tr>
      <w:tr w14:paraId="4C385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1AF07997">
            <w:pPr>
              <w:jc w:val="center"/>
            </w:pPr>
            <w:r>
              <w:rPr>
                <w:sz w:val="21"/>
              </w:rPr>
              <w:t>13</w:t>
            </w:r>
          </w:p>
        </w:tc>
        <w:tc>
          <w:tcPr>
            <w:tcW w:w="2610" w:type="dxa"/>
            <w:vAlign w:val="center"/>
          </w:tcPr>
          <w:p w14:paraId="1C85BFFF">
            <w:pPr>
              <w:jc w:val="center"/>
            </w:pPr>
            <w:r>
              <w:rPr>
                <w:sz w:val="21"/>
              </w:rPr>
              <w:t>资产梳理</w:t>
            </w:r>
          </w:p>
        </w:tc>
        <w:tc>
          <w:tcPr>
            <w:tcW w:w="3000" w:type="dxa"/>
            <w:vAlign w:val="center"/>
          </w:tcPr>
          <w:p w14:paraId="00973F36">
            <w:pPr>
              <w:jc w:val="center"/>
            </w:pPr>
            <w:r>
              <w:rPr>
                <w:sz w:val="21"/>
              </w:rPr>
              <w:t>全年按需资产梳理</w:t>
            </w:r>
          </w:p>
        </w:tc>
        <w:tc>
          <w:tcPr>
            <w:tcW w:w="1991" w:type="dxa"/>
            <w:vAlign w:val="center"/>
          </w:tcPr>
          <w:p w14:paraId="11721F8B">
            <w:pPr>
              <w:jc w:val="center"/>
            </w:pPr>
            <w:r>
              <w:rPr>
                <w:sz w:val="21"/>
              </w:rPr>
              <w:t>待询价</w:t>
            </w:r>
          </w:p>
        </w:tc>
      </w:tr>
      <w:tr w14:paraId="3C596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3AB90D6F">
            <w:pPr>
              <w:jc w:val="center"/>
            </w:pPr>
            <w:r>
              <w:rPr>
                <w:sz w:val="21"/>
              </w:rPr>
              <w:t>14</w:t>
            </w:r>
          </w:p>
        </w:tc>
        <w:tc>
          <w:tcPr>
            <w:tcW w:w="2610" w:type="dxa"/>
            <w:vAlign w:val="center"/>
          </w:tcPr>
          <w:p w14:paraId="5F5B81B0">
            <w:pPr>
              <w:jc w:val="center"/>
            </w:pPr>
            <w:r>
              <w:rPr>
                <w:sz w:val="21"/>
              </w:rPr>
              <w:t>应急演练与处置</w:t>
            </w:r>
          </w:p>
        </w:tc>
        <w:tc>
          <w:tcPr>
            <w:tcW w:w="3000" w:type="dxa"/>
            <w:vAlign w:val="center"/>
          </w:tcPr>
          <w:p w14:paraId="6BC36650">
            <w:pPr>
              <w:jc w:val="center"/>
            </w:pPr>
            <w:r>
              <w:rPr>
                <w:sz w:val="21"/>
              </w:rPr>
              <w:t>每年两次应急演练+全年按需应急处置</w:t>
            </w:r>
          </w:p>
        </w:tc>
        <w:tc>
          <w:tcPr>
            <w:tcW w:w="1991" w:type="dxa"/>
            <w:vAlign w:val="center"/>
          </w:tcPr>
          <w:p w14:paraId="7CD2FA2F">
            <w:pPr>
              <w:jc w:val="center"/>
            </w:pPr>
            <w:r>
              <w:rPr>
                <w:sz w:val="21"/>
              </w:rPr>
              <w:t>待询价</w:t>
            </w:r>
          </w:p>
        </w:tc>
      </w:tr>
      <w:tr w14:paraId="569B0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01473FE0">
            <w:pPr>
              <w:jc w:val="center"/>
            </w:pPr>
            <w:r>
              <w:rPr>
                <w:sz w:val="21"/>
              </w:rPr>
              <w:t>15</w:t>
            </w:r>
          </w:p>
        </w:tc>
        <w:tc>
          <w:tcPr>
            <w:tcW w:w="2610" w:type="dxa"/>
            <w:vAlign w:val="center"/>
          </w:tcPr>
          <w:p w14:paraId="6D71C21B">
            <w:pPr>
              <w:jc w:val="center"/>
            </w:pPr>
            <w:r>
              <w:rPr>
                <w:sz w:val="21"/>
              </w:rPr>
              <w:t>安全培训</w:t>
            </w:r>
          </w:p>
        </w:tc>
        <w:tc>
          <w:tcPr>
            <w:tcW w:w="3000" w:type="dxa"/>
            <w:vAlign w:val="center"/>
          </w:tcPr>
          <w:p w14:paraId="460720BA">
            <w:pPr>
              <w:jc w:val="center"/>
            </w:pPr>
            <w:r>
              <w:rPr>
                <w:sz w:val="21"/>
              </w:rPr>
              <w:t>每年两次全员安全培训</w:t>
            </w:r>
          </w:p>
        </w:tc>
        <w:tc>
          <w:tcPr>
            <w:tcW w:w="1991" w:type="dxa"/>
            <w:vAlign w:val="center"/>
          </w:tcPr>
          <w:p w14:paraId="7EA1AD06">
            <w:pPr>
              <w:jc w:val="center"/>
            </w:pPr>
            <w:r>
              <w:rPr>
                <w:sz w:val="21"/>
              </w:rPr>
              <w:t>待询价</w:t>
            </w:r>
          </w:p>
        </w:tc>
      </w:tr>
      <w:tr w14:paraId="19992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4DCC712D">
            <w:pPr>
              <w:jc w:val="center"/>
            </w:pPr>
            <w:r>
              <w:rPr>
                <w:sz w:val="21"/>
              </w:rPr>
              <w:t>16</w:t>
            </w:r>
          </w:p>
        </w:tc>
        <w:tc>
          <w:tcPr>
            <w:tcW w:w="2610" w:type="dxa"/>
            <w:vAlign w:val="center"/>
          </w:tcPr>
          <w:p w14:paraId="0D3CE639">
            <w:pPr>
              <w:jc w:val="center"/>
            </w:pPr>
            <w:r>
              <w:rPr>
                <w:sz w:val="21"/>
              </w:rPr>
              <w:t>联合检查迎检</w:t>
            </w:r>
          </w:p>
        </w:tc>
        <w:tc>
          <w:tcPr>
            <w:tcW w:w="3000" w:type="dxa"/>
            <w:vAlign w:val="center"/>
          </w:tcPr>
          <w:p w14:paraId="730816B2">
            <w:pPr>
              <w:jc w:val="center"/>
            </w:pPr>
            <w:r>
              <w:rPr>
                <w:sz w:val="21"/>
              </w:rPr>
              <w:t>全年按需检查迎检服务</w:t>
            </w:r>
          </w:p>
        </w:tc>
        <w:tc>
          <w:tcPr>
            <w:tcW w:w="1991" w:type="dxa"/>
            <w:vAlign w:val="center"/>
          </w:tcPr>
          <w:p w14:paraId="2E404653">
            <w:pPr>
              <w:jc w:val="center"/>
            </w:pPr>
            <w:r>
              <w:rPr>
                <w:sz w:val="21"/>
              </w:rPr>
              <w:t>待询价</w:t>
            </w:r>
          </w:p>
        </w:tc>
      </w:tr>
      <w:tr w14:paraId="2E852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dxa"/>
            <w:vAlign w:val="center"/>
          </w:tcPr>
          <w:p w14:paraId="3609A73F">
            <w:pPr>
              <w:jc w:val="center"/>
            </w:pPr>
            <w:r>
              <w:rPr>
                <w:b/>
                <w:sz w:val="22"/>
              </w:rPr>
              <w:t>合计</w:t>
            </w:r>
          </w:p>
        </w:tc>
        <w:tc>
          <w:tcPr>
            <w:tcW w:w="2610" w:type="dxa"/>
            <w:vAlign w:val="center"/>
          </w:tcPr>
          <w:p w14:paraId="2BF71DE1">
            <w:pPr>
              <w:jc w:val="center"/>
            </w:pPr>
          </w:p>
        </w:tc>
        <w:tc>
          <w:tcPr>
            <w:tcW w:w="3000" w:type="dxa"/>
            <w:vAlign w:val="center"/>
          </w:tcPr>
          <w:p w14:paraId="3A4950CE">
            <w:pPr>
              <w:jc w:val="center"/>
            </w:pPr>
          </w:p>
        </w:tc>
        <w:tc>
          <w:tcPr>
            <w:tcW w:w="1991" w:type="dxa"/>
            <w:vAlign w:val="center"/>
          </w:tcPr>
          <w:p w14:paraId="716D1652">
            <w:pPr>
              <w:jc w:val="center"/>
            </w:pPr>
            <w:r>
              <w:rPr>
                <w:b/>
                <w:sz w:val="22"/>
              </w:rPr>
              <w:t>待询价</w:t>
            </w:r>
          </w:p>
        </w:tc>
      </w:tr>
    </w:tbl>
    <w:p w14:paraId="7E898D4B"/>
    <w:p w14:paraId="4BF0BAFA">
      <w:pPr>
        <w:pStyle w:val="2"/>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pPr>
      <w:r>
        <w:rPr>
          <w:sz w:val="24"/>
        </w:rPr>
        <w:t>注：以上预算金额为预估待询价，实际预算金额以市场询价结果为准。建议参考同等级医院安全服务项目合同价、相关招标网站类似项目中标价及安全服务厂商报价综合确定。</w:t>
      </w:r>
    </w:p>
    <w:sectPr>
      <w:pgSz w:w="11905" w:h="16837" w:orient="landscape"/>
      <w:pgMar w:top="1440" w:right="1800"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664B2"/>
    <w:multiLevelType w:val="multilevel"/>
    <w:tmpl w:val="449664B2"/>
    <w:lvl w:ilvl="0" w:tentative="0">
      <w:start w:val="1"/>
      <w:numFmt w:val="chineseCountingThousand"/>
      <w:pStyle w:val="31"/>
      <w:suff w:val="space"/>
      <w:lvlText w:val="第%1章"/>
      <w:lvlJc w:val="left"/>
      <w:pPr>
        <w:ind w:left="0" w:firstLine="0"/>
      </w:pPr>
      <w:rPr>
        <w:rFonts w:hint="default" w:ascii="Times New Roman" w:hAnsi="Times New Roman" w:eastAsia="黑体"/>
        <w:b/>
        <w:i w:val="0"/>
        <w:sz w:val="32"/>
      </w:rPr>
    </w:lvl>
    <w:lvl w:ilvl="1" w:tentative="0">
      <w:start w:val="1"/>
      <w:numFmt w:val="decimal"/>
      <w:isLgl/>
      <w:suff w:val="space"/>
      <w:lvlText w:val="%1.%2"/>
      <w:lvlJc w:val="left"/>
      <w:pPr>
        <w:ind w:left="0" w:firstLine="0"/>
      </w:pPr>
      <w:rPr>
        <w:rFonts w:hint="default" w:ascii="Times New Roman" w:hAnsi="Times New Roman" w:cs="Times New Roman"/>
        <w:sz w:val="28"/>
      </w:rPr>
    </w:lvl>
    <w:lvl w:ilvl="2" w:tentative="0">
      <w:start w:val="1"/>
      <w:numFmt w:val="decimal"/>
      <w:isLgl/>
      <w:suff w:val="space"/>
      <w:lvlText w:val="%1.%2.%3"/>
      <w:lvlJc w:val="left"/>
      <w:pPr>
        <w:ind w:left="0" w:firstLine="0"/>
      </w:pPr>
      <w:rPr>
        <w:rFonts w:hint="default" w:ascii="Times New Roman" w:hAnsi="Times New Roman" w:eastAsia="黑体"/>
        <w:sz w:val="24"/>
      </w:rPr>
    </w:lvl>
    <w:lvl w:ilvl="3" w:tentative="0">
      <w:start w:val="1"/>
      <w:numFmt w:val="decimal"/>
      <w:isLgl/>
      <w:suff w:val="space"/>
      <w:lvlText w:val="%1.%2.%3.%4"/>
      <w:lvlJc w:val="left"/>
      <w:pPr>
        <w:ind w:left="0" w:firstLine="0"/>
      </w:pPr>
      <w:rPr>
        <w:rFonts w:hint="default" w:ascii="Times New Roman" w:hAnsi="Times New Roman" w:eastAsia="黑体"/>
        <w:sz w:val="24"/>
      </w:rPr>
    </w:lvl>
    <w:lvl w:ilvl="4" w:tentative="0">
      <w:start w:val="1"/>
      <w:numFmt w:val="decimal"/>
      <w:isLgl/>
      <w:suff w:val="space"/>
      <w:lvlText w:val="%1.%2.%3.%4.%5"/>
      <w:lvlJc w:val="left"/>
      <w:pPr>
        <w:ind w:left="0" w:firstLine="0"/>
      </w:pPr>
      <w:rPr>
        <w:rFonts w:hint="default" w:ascii="Times New Roman" w:hAnsi="Times New Roman" w:eastAsia="宋体"/>
        <w:b w:val="0"/>
        <w:i w:val="0"/>
        <w:sz w:val="24"/>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wNDgxN2MyZGQxMWZlOWEwNjNmNWY4NTkwMjg5NjgifQ=="/>
  </w:docVars>
  <w:rsids>
    <w:rsidRoot w:val="00D67FAC"/>
    <w:rsid w:val="00003119"/>
    <w:rsid w:val="00021E12"/>
    <w:rsid w:val="00046A21"/>
    <w:rsid w:val="000565A6"/>
    <w:rsid w:val="000918D8"/>
    <w:rsid w:val="0009294F"/>
    <w:rsid w:val="000D33F9"/>
    <w:rsid w:val="000D5EFD"/>
    <w:rsid w:val="000F2D3A"/>
    <w:rsid w:val="000F67EF"/>
    <w:rsid w:val="00102CF8"/>
    <w:rsid w:val="00122E11"/>
    <w:rsid w:val="001454C2"/>
    <w:rsid w:val="00164B03"/>
    <w:rsid w:val="00192D51"/>
    <w:rsid w:val="001A1B31"/>
    <w:rsid w:val="001A2B04"/>
    <w:rsid w:val="001A2FAB"/>
    <w:rsid w:val="001A30FF"/>
    <w:rsid w:val="001A3D94"/>
    <w:rsid w:val="001B4025"/>
    <w:rsid w:val="00201953"/>
    <w:rsid w:val="00201AC6"/>
    <w:rsid w:val="0022242C"/>
    <w:rsid w:val="002233BD"/>
    <w:rsid w:val="0022445E"/>
    <w:rsid w:val="00245AF8"/>
    <w:rsid w:val="00264B20"/>
    <w:rsid w:val="002714DB"/>
    <w:rsid w:val="0027199D"/>
    <w:rsid w:val="00271F48"/>
    <w:rsid w:val="00285FA4"/>
    <w:rsid w:val="002B2C33"/>
    <w:rsid w:val="002C6D6C"/>
    <w:rsid w:val="002E0BB1"/>
    <w:rsid w:val="002E18A3"/>
    <w:rsid w:val="002E2F50"/>
    <w:rsid w:val="002E6044"/>
    <w:rsid w:val="00350E52"/>
    <w:rsid w:val="003524F1"/>
    <w:rsid w:val="003578E6"/>
    <w:rsid w:val="00375A16"/>
    <w:rsid w:val="003930B0"/>
    <w:rsid w:val="003D53E2"/>
    <w:rsid w:val="003E032A"/>
    <w:rsid w:val="003F51B3"/>
    <w:rsid w:val="0041372B"/>
    <w:rsid w:val="00414654"/>
    <w:rsid w:val="00415B9A"/>
    <w:rsid w:val="004300D2"/>
    <w:rsid w:val="004346BA"/>
    <w:rsid w:val="00440F6B"/>
    <w:rsid w:val="00441FBC"/>
    <w:rsid w:val="00443998"/>
    <w:rsid w:val="0045183B"/>
    <w:rsid w:val="00453518"/>
    <w:rsid w:val="00457597"/>
    <w:rsid w:val="004612DE"/>
    <w:rsid w:val="004C3389"/>
    <w:rsid w:val="004E50F9"/>
    <w:rsid w:val="004F5CDC"/>
    <w:rsid w:val="00521F58"/>
    <w:rsid w:val="005229ED"/>
    <w:rsid w:val="0052608C"/>
    <w:rsid w:val="005313F2"/>
    <w:rsid w:val="00573940"/>
    <w:rsid w:val="00576A94"/>
    <w:rsid w:val="00585497"/>
    <w:rsid w:val="00593D40"/>
    <w:rsid w:val="005961B3"/>
    <w:rsid w:val="005A6509"/>
    <w:rsid w:val="005B0A1E"/>
    <w:rsid w:val="005B790D"/>
    <w:rsid w:val="005C3252"/>
    <w:rsid w:val="005E5177"/>
    <w:rsid w:val="00612624"/>
    <w:rsid w:val="00613F88"/>
    <w:rsid w:val="0062252D"/>
    <w:rsid w:val="00625FDE"/>
    <w:rsid w:val="00634743"/>
    <w:rsid w:val="006426F1"/>
    <w:rsid w:val="00644919"/>
    <w:rsid w:val="00650FEE"/>
    <w:rsid w:val="00654F2C"/>
    <w:rsid w:val="00656060"/>
    <w:rsid w:val="00657569"/>
    <w:rsid w:val="00662DD1"/>
    <w:rsid w:val="006744F4"/>
    <w:rsid w:val="00693430"/>
    <w:rsid w:val="006C723D"/>
    <w:rsid w:val="006D4096"/>
    <w:rsid w:val="007068DC"/>
    <w:rsid w:val="007203E7"/>
    <w:rsid w:val="00731190"/>
    <w:rsid w:val="007354E1"/>
    <w:rsid w:val="00745220"/>
    <w:rsid w:val="00747424"/>
    <w:rsid w:val="007669A5"/>
    <w:rsid w:val="00774264"/>
    <w:rsid w:val="007946EE"/>
    <w:rsid w:val="007A731B"/>
    <w:rsid w:val="007B0268"/>
    <w:rsid w:val="007B428F"/>
    <w:rsid w:val="007C1B60"/>
    <w:rsid w:val="007E10C3"/>
    <w:rsid w:val="007F79DF"/>
    <w:rsid w:val="0080411A"/>
    <w:rsid w:val="008107BD"/>
    <w:rsid w:val="00814163"/>
    <w:rsid w:val="008203E2"/>
    <w:rsid w:val="00827D8A"/>
    <w:rsid w:val="00836E17"/>
    <w:rsid w:val="008402BD"/>
    <w:rsid w:val="0085137E"/>
    <w:rsid w:val="008647B0"/>
    <w:rsid w:val="008734FC"/>
    <w:rsid w:val="008767D1"/>
    <w:rsid w:val="008856B2"/>
    <w:rsid w:val="008A5BA3"/>
    <w:rsid w:val="008B27D9"/>
    <w:rsid w:val="008B43E7"/>
    <w:rsid w:val="008C788B"/>
    <w:rsid w:val="008D03B9"/>
    <w:rsid w:val="008F152D"/>
    <w:rsid w:val="008F7A0A"/>
    <w:rsid w:val="00913711"/>
    <w:rsid w:val="00953FF8"/>
    <w:rsid w:val="0095525E"/>
    <w:rsid w:val="00963E7D"/>
    <w:rsid w:val="00970F4F"/>
    <w:rsid w:val="0097796D"/>
    <w:rsid w:val="00992DBF"/>
    <w:rsid w:val="009965C7"/>
    <w:rsid w:val="009C6EE3"/>
    <w:rsid w:val="009D0E57"/>
    <w:rsid w:val="009E0DBB"/>
    <w:rsid w:val="009E408F"/>
    <w:rsid w:val="009F0664"/>
    <w:rsid w:val="00A11C02"/>
    <w:rsid w:val="00A201CF"/>
    <w:rsid w:val="00A31F00"/>
    <w:rsid w:val="00A34F5A"/>
    <w:rsid w:val="00A4510D"/>
    <w:rsid w:val="00A526C5"/>
    <w:rsid w:val="00A81247"/>
    <w:rsid w:val="00A817F6"/>
    <w:rsid w:val="00AA28FD"/>
    <w:rsid w:val="00AA6765"/>
    <w:rsid w:val="00AB7704"/>
    <w:rsid w:val="00AC195A"/>
    <w:rsid w:val="00AD2D97"/>
    <w:rsid w:val="00AD76E5"/>
    <w:rsid w:val="00AE450C"/>
    <w:rsid w:val="00AE5D4B"/>
    <w:rsid w:val="00B0439A"/>
    <w:rsid w:val="00B155C5"/>
    <w:rsid w:val="00B16332"/>
    <w:rsid w:val="00B25375"/>
    <w:rsid w:val="00B52A9E"/>
    <w:rsid w:val="00B52C9C"/>
    <w:rsid w:val="00B827FD"/>
    <w:rsid w:val="00BA03BD"/>
    <w:rsid w:val="00BA6BD2"/>
    <w:rsid w:val="00BD7C4B"/>
    <w:rsid w:val="00BE1693"/>
    <w:rsid w:val="00BF2657"/>
    <w:rsid w:val="00C0300F"/>
    <w:rsid w:val="00C127C9"/>
    <w:rsid w:val="00C229F9"/>
    <w:rsid w:val="00C31E1F"/>
    <w:rsid w:val="00C40014"/>
    <w:rsid w:val="00C42675"/>
    <w:rsid w:val="00C54C73"/>
    <w:rsid w:val="00C5634E"/>
    <w:rsid w:val="00C6499D"/>
    <w:rsid w:val="00C86843"/>
    <w:rsid w:val="00C93DF9"/>
    <w:rsid w:val="00C93F4C"/>
    <w:rsid w:val="00C96E71"/>
    <w:rsid w:val="00CD05A6"/>
    <w:rsid w:val="00CD3D41"/>
    <w:rsid w:val="00CE3038"/>
    <w:rsid w:val="00CF58CA"/>
    <w:rsid w:val="00D0156D"/>
    <w:rsid w:val="00D01F8D"/>
    <w:rsid w:val="00D11499"/>
    <w:rsid w:val="00D41797"/>
    <w:rsid w:val="00D45C97"/>
    <w:rsid w:val="00D526EE"/>
    <w:rsid w:val="00D52E77"/>
    <w:rsid w:val="00D5507A"/>
    <w:rsid w:val="00D559D4"/>
    <w:rsid w:val="00D60F63"/>
    <w:rsid w:val="00D62545"/>
    <w:rsid w:val="00D63276"/>
    <w:rsid w:val="00D67FAC"/>
    <w:rsid w:val="00D83EB7"/>
    <w:rsid w:val="00D925A6"/>
    <w:rsid w:val="00D96616"/>
    <w:rsid w:val="00DA1BF8"/>
    <w:rsid w:val="00DD43F8"/>
    <w:rsid w:val="00DE1407"/>
    <w:rsid w:val="00E101D2"/>
    <w:rsid w:val="00E14234"/>
    <w:rsid w:val="00E2436C"/>
    <w:rsid w:val="00E367CF"/>
    <w:rsid w:val="00E37F8E"/>
    <w:rsid w:val="00E43D76"/>
    <w:rsid w:val="00E45AB8"/>
    <w:rsid w:val="00E46A83"/>
    <w:rsid w:val="00E64103"/>
    <w:rsid w:val="00E67891"/>
    <w:rsid w:val="00E728F4"/>
    <w:rsid w:val="00E853DF"/>
    <w:rsid w:val="00E91D0F"/>
    <w:rsid w:val="00EA5AE3"/>
    <w:rsid w:val="00EB75A6"/>
    <w:rsid w:val="00EC10D9"/>
    <w:rsid w:val="00EE229F"/>
    <w:rsid w:val="00EF0827"/>
    <w:rsid w:val="00F02A82"/>
    <w:rsid w:val="00F04A08"/>
    <w:rsid w:val="00F5068E"/>
    <w:rsid w:val="00F561E8"/>
    <w:rsid w:val="00F63A3D"/>
    <w:rsid w:val="00F91B93"/>
    <w:rsid w:val="00FA2FAD"/>
    <w:rsid w:val="00FA75B9"/>
    <w:rsid w:val="00FB44F3"/>
    <w:rsid w:val="00FE7E87"/>
    <w:rsid w:val="01050944"/>
    <w:rsid w:val="017E2739"/>
    <w:rsid w:val="0AFE53BA"/>
    <w:rsid w:val="0EF56F8E"/>
    <w:rsid w:val="20700ABB"/>
    <w:rsid w:val="27817E07"/>
    <w:rsid w:val="28BF71F2"/>
    <w:rsid w:val="2CF75313"/>
    <w:rsid w:val="347C6618"/>
    <w:rsid w:val="37310572"/>
    <w:rsid w:val="4A683641"/>
    <w:rsid w:val="4B851AD0"/>
    <w:rsid w:val="4DDB31F5"/>
    <w:rsid w:val="557169CF"/>
    <w:rsid w:val="5664268A"/>
    <w:rsid w:val="5AAE2166"/>
    <w:rsid w:val="632F43F6"/>
    <w:rsid w:val="6C8C7011"/>
    <w:rsid w:val="7AE00CFB"/>
    <w:rsid w:val="7C0F7CC8"/>
    <w:rsid w:val="7CE00428"/>
    <w:rsid w:val="7D2124FA"/>
    <w:rsid w:val="7F1F7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heme="minorHAnsi" w:hAnsiTheme="minorHAnsi" w:eastAsiaTheme="minorEastAsia" w:cstheme="minorBidi"/>
      <w:kern w:val="2"/>
      <w:sz w:val="21"/>
      <w:lang w:val="en-US" w:eastAsia="zh-CN" w:bidi="ar-SA"/>
    </w:rPr>
  </w:style>
  <w:style w:type="paragraph" w:styleId="4">
    <w:name w:val="heading 2"/>
    <w:basedOn w:val="1"/>
    <w:next w:val="1"/>
    <w:unhideWhenUsed/>
    <w:qFormat/>
    <w:uiPriority w:val="9"/>
    <w:pPr>
      <w:keepNext/>
      <w:keepLines/>
      <w:spacing w:before="260" w:after="260" w:line="415" w:lineRule="auto"/>
      <w:outlineLvl w:val="1"/>
    </w:pPr>
    <w:rPr>
      <w:rFonts w:asciiTheme="majorHAnsi" w:hAnsiTheme="majorHAnsi" w:eastAsiaTheme="majorEastAsia" w:cstheme="majorBidi"/>
      <w:b/>
      <w:sz w:val="32"/>
    </w:rPr>
  </w:style>
  <w:style w:type="paragraph" w:styleId="5">
    <w:name w:val="heading 3"/>
    <w:basedOn w:val="1"/>
    <w:next w:val="1"/>
    <w:semiHidden/>
    <w:unhideWhenUsed/>
    <w:qFormat/>
    <w:uiPriority w:val="9"/>
    <w:pPr>
      <w:keepNext/>
      <w:keepLines/>
      <w:spacing w:before="260" w:after="260" w:line="415" w:lineRule="auto"/>
      <w:outlineLvl w:val="2"/>
    </w:pPr>
    <w:rPr>
      <w:b/>
      <w:sz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ind w:left="637"/>
    </w:pPr>
    <w:rPr>
      <w:rFonts w:ascii="宋体" w:hAnsi="宋体" w:eastAsia="宋体" w:cs="宋体"/>
      <w:kern w:val="0"/>
    </w:rPr>
  </w:style>
  <w:style w:type="paragraph" w:styleId="7">
    <w:name w:val="Normal Indent"/>
    <w:basedOn w:val="1"/>
    <w:autoRedefine/>
    <w:qFormat/>
    <w:uiPriority w:val="0"/>
    <w:pPr>
      <w:ind w:firstLine="420" w:firstLineChars="200"/>
    </w:pPr>
  </w:style>
  <w:style w:type="paragraph" w:styleId="8">
    <w:name w:val="annotation text"/>
    <w:basedOn w:val="1"/>
    <w:qFormat/>
    <w:uiPriority w:val="0"/>
    <w:rPr>
      <w:rFonts w:ascii="Calibri" w:hAnsi="Calibri" w:eastAsia="宋体" w:cs="Calibri"/>
    </w:rPr>
  </w:style>
  <w:style w:type="paragraph" w:styleId="9">
    <w:name w:val="footer"/>
    <w:basedOn w:val="1"/>
    <w:qFormat/>
    <w:uiPriority w:val="0"/>
    <w:rPr>
      <w:sz w:val="18"/>
    </w:rPr>
  </w:style>
  <w:style w:type="paragraph" w:styleId="10">
    <w:name w:val="header"/>
    <w:basedOn w:val="1"/>
    <w:qFormat/>
    <w:uiPriority w:val="0"/>
    <w:pPr>
      <w:pBdr>
        <w:bottom w:val="single" w:color="000000" w:sz="6" w:space="1"/>
      </w:pBdr>
      <w:jc w:val="center"/>
    </w:pPr>
    <w:rPr>
      <w:sz w:val="18"/>
    </w:rPr>
  </w:style>
  <w:style w:type="paragraph" w:styleId="11">
    <w:name w:val="Title"/>
    <w:basedOn w:val="1"/>
    <w:next w:val="1"/>
    <w:link w:val="33"/>
    <w:qFormat/>
    <w:uiPriority w:val="1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autoRedefine/>
    <w:qFormat/>
    <w:uiPriority w:val="0"/>
    <w:pPr>
      <w:widowControl w:val="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Strong"/>
    <w:basedOn w:val="14"/>
    <w:qFormat/>
    <w:uiPriority w:val="0"/>
    <w:rPr>
      <w:b/>
    </w:rPr>
  </w:style>
  <w:style w:type="character" w:styleId="16">
    <w:name w:val="annotation reference"/>
    <w:qFormat/>
    <w:uiPriority w:val="0"/>
    <w:rPr>
      <w:sz w:val="21"/>
    </w:rPr>
  </w:style>
  <w:style w:type="character" w:customStyle="1" w:styleId="17">
    <w:name w:val="标题 3 字符"/>
    <w:basedOn w:val="14"/>
    <w:autoRedefine/>
    <w:qFormat/>
    <w:uiPriority w:val="0"/>
    <w:rPr>
      <w:b/>
      <w:kern w:val="2"/>
      <w:sz w:val="32"/>
    </w:rPr>
  </w:style>
  <w:style w:type="character" w:customStyle="1" w:styleId="18">
    <w:name w:val="标题 4 字符"/>
    <w:basedOn w:val="14"/>
    <w:autoRedefine/>
    <w:qFormat/>
    <w:uiPriority w:val="0"/>
    <w:rPr>
      <w:rFonts w:asciiTheme="majorHAnsi" w:hAnsiTheme="majorHAnsi" w:eastAsiaTheme="majorEastAsia" w:cstheme="majorBidi"/>
      <w:b/>
      <w:kern w:val="2"/>
      <w:sz w:val="28"/>
    </w:rPr>
  </w:style>
  <w:style w:type="character" w:customStyle="1" w:styleId="19">
    <w:name w:val="正文文本 字符"/>
    <w:basedOn w:val="14"/>
    <w:qFormat/>
    <w:uiPriority w:val="0"/>
    <w:rPr>
      <w:rFonts w:ascii="宋体" w:hAnsi="宋体" w:eastAsia="宋体" w:cs="宋体"/>
      <w:sz w:val="21"/>
    </w:rPr>
  </w:style>
  <w:style w:type="paragraph" w:customStyle="1" w:styleId="20">
    <w:name w:val="正文缩进_0"/>
    <w:basedOn w:val="21"/>
    <w:autoRedefine/>
    <w:qFormat/>
    <w:uiPriority w:val="0"/>
    <w:pPr>
      <w:ind w:firstLine="420"/>
    </w:pPr>
    <w:rPr>
      <w:rFonts w:ascii="Times New Roman" w:hAnsi="Times New Roman"/>
      <w:kern w:val="0"/>
    </w:rPr>
  </w:style>
  <w:style w:type="paragraph" w:customStyle="1" w:styleId="21">
    <w:name w:val="正文_1"/>
    <w:autoRedefine/>
    <w:qFormat/>
    <w:uiPriority w:val="0"/>
    <w:pPr>
      <w:widowControl w:val="0"/>
    </w:pPr>
    <w:rPr>
      <w:rFonts w:ascii="Calibri" w:hAnsi="Calibri" w:eastAsiaTheme="minorEastAsia" w:cstheme="minorBidi"/>
      <w:kern w:val="2"/>
      <w:sz w:val="21"/>
      <w:lang w:val="en-US" w:eastAsia="zh-CN" w:bidi="ar-SA"/>
    </w:rPr>
  </w:style>
  <w:style w:type="character" w:customStyle="1" w:styleId="22">
    <w:name w:val="批注文字 字符1"/>
    <w:autoRedefine/>
    <w:qFormat/>
    <w:uiPriority w:val="0"/>
    <w:rPr>
      <w:rFonts w:ascii="Calibri" w:hAnsi="Calibri" w:eastAsia="宋体" w:cs="Calibri"/>
      <w:kern w:val="2"/>
      <w:sz w:val="21"/>
    </w:rPr>
  </w:style>
  <w:style w:type="paragraph" w:customStyle="1" w:styleId="23">
    <w:name w:val="列出段落1"/>
    <w:basedOn w:val="1"/>
    <w:autoRedefine/>
    <w:qFormat/>
    <w:uiPriority w:val="0"/>
    <w:pPr>
      <w:ind w:firstLine="420" w:firstLineChars="200"/>
    </w:pPr>
    <w:rPr>
      <w:rFonts w:ascii="Times New Roman" w:hAnsi="Times New Roman" w:eastAsia="宋体" w:cs="Times New Roman"/>
    </w:rPr>
  </w:style>
  <w:style w:type="character" w:customStyle="1" w:styleId="24">
    <w:name w:val="正文缩进 Char_0"/>
    <w:autoRedefine/>
    <w:qFormat/>
    <w:uiPriority w:val="0"/>
    <w:rPr>
      <w:rFonts w:ascii="Times New Roman" w:hAnsi="Times New Roman" w:eastAsia="宋体" w:cs="Times New Roman"/>
      <w:sz w:val="21"/>
    </w:rPr>
  </w:style>
  <w:style w:type="character" w:customStyle="1" w:styleId="25">
    <w:name w:val="页脚 字符"/>
    <w:basedOn w:val="14"/>
    <w:qFormat/>
    <w:uiPriority w:val="0"/>
    <w:rPr>
      <w:kern w:val="2"/>
      <w:sz w:val="18"/>
    </w:rPr>
  </w:style>
  <w:style w:type="character" w:customStyle="1" w:styleId="26">
    <w:name w:val="页眉 字符"/>
    <w:basedOn w:val="14"/>
    <w:autoRedefine/>
    <w:qFormat/>
    <w:uiPriority w:val="0"/>
    <w:rPr>
      <w:kern w:val="2"/>
      <w:sz w:val="18"/>
    </w:rPr>
  </w:style>
  <w:style w:type="paragraph" w:styleId="27">
    <w:name w:val="List Paragraph"/>
    <w:basedOn w:val="1"/>
    <w:qFormat/>
    <w:uiPriority w:val="0"/>
    <w:pPr>
      <w:ind w:firstLine="420" w:firstLineChars="200"/>
    </w:pPr>
  </w:style>
  <w:style w:type="character" w:customStyle="1" w:styleId="28">
    <w:name w:val="列表段落 字符"/>
    <w:autoRedefine/>
    <w:qFormat/>
    <w:uiPriority w:val="0"/>
    <w:rPr>
      <w:kern w:val="2"/>
      <w:sz w:val="21"/>
    </w:rPr>
  </w:style>
  <w:style w:type="character" w:customStyle="1" w:styleId="29">
    <w:name w:val="批注文字 字符"/>
    <w:basedOn w:val="14"/>
    <w:autoRedefine/>
    <w:qFormat/>
    <w:uiPriority w:val="0"/>
    <w:rPr>
      <w:kern w:val="2"/>
      <w:sz w:val="21"/>
    </w:rPr>
  </w:style>
  <w:style w:type="paragraph" w:customStyle="1" w:styleId="30">
    <w:name w:val="监测指标、参考指标"/>
    <w:basedOn w:val="1"/>
    <w:qFormat/>
    <w:uiPriority w:val="0"/>
    <w:pPr>
      <w:outlineLvl w:val="1"/>
    </w:pPr>
    <w:rPr>
      <w:rFonts w:eastAsia="仿宋_GB2312"/>
      <w:b/>
      <w:sz w:val="28"/>
      <w:szCs w:val="28"/>
    </w:rPr>
  </w:style>
  <w:style w:type="paragraph" w:customStyle="1" w:styleId="31">
    <w:name w:val="各章标题（方案）"/>
    <w:basedOn w:val="11"/>
    <w:next w:val="1"/>
    <w:link w:val="32"/>
    <w:autoRedefine/>
    <w:qFormat/>
    <w:uiPriority w:val="0"/>
    <w:pPr>
      <w:numPr>
        <w:ilvl w:val="0"/>
        <w:numId w:val="1"/>
      </w:numPr>
      <w:spacing w:before="480" w:after="360"/>
    </w:pPr>
    <w:rPr>
      <w:rFonts w:ascii="黑体" w:hAnsi="黑体" w:eastAsia="黑体"/>
    </w:rPr>
  </w:style>
  <w:style w:type="character" w:customStyle="1" w:styleId="32">
    <w:name w:val="各章标题（方案） 字符"/>
    <w:basedOn w:val="33"/>
    <w:link w:val="31"/>
    <w:qFormat/>
    <w:uiPriority w:val="0"/>
    <w:rPr>
      <w:rFonts w:ascii="黑体" w:hAnsi="黑体" w:eastAsia="黑体" w:cstheme="majorBidi"/>
      <w:kern w:val="2"/>
      <w:sz w:val="32"/>
      <w:szCs w:val="32"/>
    </w:rPr>
  </w:style>
  <w:style w:type="character" w:customStyle="1" w:styleId="33">
    <w:name w:val="标题 字符"/>
    <w:basedOn w:val="14"/>
    <w:link w:val="11"/>
    <w:qFormat/>
    <w:uiPriority w:val="10"/>
    <w:rPr>
      <w:rFonts w:asciiTheme="majorHAnsi" w:hAnsiTheme="majorHAnsi" w:eastAsiaTheme="majorEastAsia" w:cstheme="majorBidi"/>
      <w:b/>
      <w:bCs/>
      <w:kern w:val="2"/>
      <w:sz w:val="32"/>
      <w:szCs w:val="32"/>
    </w:rPr>
  </w:style>
  <w:style w:type="paragraph" w:customStyle="1" w:styleId="34">
    <w:name w:val="Revision"/>
    <w:hidden/>
    <w:unhideWhenUsed/>
    <w:qFormat/>
    <w:uiPriority w:val="99"/>
    <w:rPr>
      <w:rFonts w:asciiTheme="minorHAnsi" w:hAnsiTheme="minorHAnsi" w:eastAsiaTheme="minorEastAsia" w:cstheme="minorBidi"/>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3824</Words>
  <Characters>3886</Characters>
  <Lines>1</Lines>
  <Paragraphs>1</Paragraphs>
  <TotalTime>31</TotalTime>
  <ScaleCrop>false</ScaleCrop>
  <LinksUpToDate>false</LinksUpToDate>
  <CharactersWithSpaces>3905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2023-05-31T00:58:00Z</dcterms:created>
  <dc:creator>DingTalk</dc:creator>
  <dc:description>DingTalk Document</dc:description>
  <cp:lastModifiedBy>Tosm</cp:lastModifiedBy>
  <dcterms:modified xsi:type="dcterms:W3CDTF">2026-08-13T09:45:46Z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CE3CBE648E4D46B98FD0BEB612A3AF27_13</vt:lpwstr>
  </property>
  <property fmtid="{D5CDD505-2E9C-101B-9397-08002B2CF9AE}" pid="4" name="KSOTemplateDocerSaveRecord">
    <vt:lpwstr>eyJoZGlkIjoiN2I0MmQ3MDdiNzU0NWNhMmUzOTA2Y2NjYWM3OThmNWMiLCJ1c2VySWQiOiIzNjkyOTczNDMifQ==</vt:lpwstr>
  </property>
</Properties>
</file>