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95417">
      <w:pPr>
        <w:autoSpaceDE w:val="0"/>
        <w:autoSpaceDN w:val="0"/>
        <w:spacing w:after="156" w:afterLines="50" w:line="480" w:lineRule="auto"/>
        <w:jc w:val="center"/>
        <w:rPr>
          <w:rFonts w:hint="eastAsia" w:ascii="黑体" w:hAnsi="黑体" w:eastAsia="黑体" w:cs="黑体"/>
          <w:b/>
          <w:bCs/>
          <w:kern w:val="0"/>
          <w:sz w:val="44"/>
          <w:szCs w:val="44"/>
        </w:rPr>
      </w:pPr>
      <w:r>
        <w:rPr>
          <w:rFonts w:hint="eastAsia" w:ascii="黑体" w:hAnsi="黑体" w:eastAsia="黑体" w:cs="黑体"/>
          <w:b/>
          <w:bCs/>
          <w:kern w:val="0"/>
          <w:sz w:val="44"/>
          <w:szCs w:val="44"/>
        </w:rPr>
        <w:t>信息化项目</w:t>
      </w:r>
      <w:r>
        <w:rPr>
          <w:rFonts w:hint="eastAsia" w:ascii="黑体" w:hAnsi="黑体" w:eastAsia="黑体" w:cs="黑体"/>
          <w:b/>
          <w:bCs/>
          <w:kern w:val="0"/>
          <w:sz w:val="44"/>
          <w:szCs w:val="44"/>
          <w:lang w:val="en-US" w:eastAsia="zh-CN"/>
        </w:rPr>
        <w:t>产品咨询</w:t>
      </w:r>
      <w:r>
        <w:rPr>
          <w:rFonts w:hint="eastAsia" w:ascii="黑体" w:hAnsi="黑体" w:eastAsia="黑体" w:cs="黑体"/>
          <w:b/>
          <w:bCs/>
          <w:kern w:val="0"/>
          <w:sz w:val="44"/>
          <w:szCs w:val="44"/>
        </w:rPr>
        <w:t>论证用户需求书</w:t>
      </w:r>
    </w:p>
    <w:p w14:paraId="447D0333">
      <w:pPr>
        <w:pStyle w:val="32"/>
        <w:rPr>
          <w:rFonts w:hint="eastAsia"/>
        </w:rPr>
      </w:pPr>
      <w:r>
        <w:rPr>
          <w:rFonts w:hint="eastAsia"/>
        </w:rPr>
        <w:t>项目背景</w:t>
      </w:r>
    </w:p>
    <w:p w14:paraId="1F81A4C3">
      <w:pPr>
        <w:pStyle w:val="24"/>
        <w:keepNext w:val="0"/>
        <w:keepLines w:val="0"/>
        <w:pageBreakBefore w:val="0"/>
        <w:tabs>
          <w:tab w:val="left" w:pos="210"/>
        </w:tabs>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随着近年来国家对于医疗信息化的大力推行，医疗信息化建设已成为行业趋势，目前医院PACS系统为影像科通用系统、无法连接眼科专业设备，使用逻辑也不符合眼科医生的使用习惯。随着我院眼科的快速发展，眼科诊疗大数据的采集，存贮，分类，归档以及挖掘再利用成为临床医生及管理者的核心诉求，通过信息化手段实现眼科大数据的综合管理与应用将会对我院临床诊疗效率、医疗质量以及科研带来巨大价值，因此我科需要购置一套眼科影像管理分析系统。</w:t>
      </w:r>
    </w:p>
    <w:p w14:paraId="3B6CF680">
      <w:pPr>
        <w:spacing w:line="360" w:lineRule="auto"/>
        <w:ind w:firstLine="560" w:firstLineChars="200"/>
        <w:rPr>
          <w:rFonts w:hint="eastAsia" w:ascii="宋体" w:hAnsi="宋体" w:eastAsia="宋体" w:cs="宋体"/>
          <w:sz w:val="24"/>
          <w:szCs w:val="24"/>
          <w:lang w:val="en-US" w:eastAsia="zh-CN"/>
        </w:rPr>
      </w:pPr>
      <w:r>
        <w:rPr>
          <w:rFonts w:hint="eastAsia" w:ascii="仿宋" w:hAnsi="仿宋" w:eastAsia="仿宋" w:cs="仿宋"/>
          <w:kern w:val="2"/>
          <w:sz w:val="28"/>
          <w:szCs w:val="28"/>
          <w:lang w:val="en-US" w:eastAsia="zh-CN" w:bidi="ar-SA"/>
        </w:rPr>
        <w:t xml:space="preserve"> 2022年国家卫生健康委印发“十四五”全国眼健康规划（2021-2025），强调了眼健康信息化平台建设的必要性，国内眼科专科信息化发展在近几年有了长足的发展，知名眼科医院和大三甲医院的知名眼科已经有了成功应用。实现了眼科各项亚专科用的专用门诊病历，同时实现了真正意义上的眼科设备全部连接，形成眼科专科影像中心。</w:t>
      </w:r>
    </w:p>
    <w:p w14:paraId="15225D91">
      <w:pPr>
        <w:spacing w:line="360" w:lineRule="auto"/>
        <w:ind w:firstLine="420" w:firstLineChars="200"/>
      </w:pPr>
      <w:r>
        <w:drawing>
          <wp:inline distT="0" distB="0" distL="114300" distR="114300">
            <wp:extent cx="5099685" cy="3328670"/>
            <wp:effectExtent l="0" t="0" r="5715" b="889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4"/>
                    <a:stretch>
                      <a:fillRect/>
                    </a:stretch>
                  </pic:blipFill>
                  <pic:spPr>
                    <a:xfrm>
                      <a:off x="0" y="0"/>
                      <a:ext cx="5099685" cy="3328670"/>
                    </a:xfrm>
                    <a:prstGeom prst="rect">
                      <a:avLst/>
                    </a:prstGeom>
                    <a:noFill/>
                    <a:ln>
                      <a:noFill/>
                    </a:ln>
                  </pic:spPr>
                </pic:pic>
              </a:graphicData>
            </a:graphic>
          </wp:inline>
        </w:drawing>
      </w:r>
    </w:p>
    <w:p w14:paraId="658479A3">
      <w:pPr>
        <w:pStyle w:val="32"/>
        <w:rPr>
          <w:rFonts w:hint="eastAsia"/>
        </w:rPr>
      </w:pPr>
      <w:r>
        <w:rPr>
          <w:rFonts w:hint="eastAsia"/>
        </w:rPr>
        <w:t>项目建设清单</w:t>
      </w:r>
    </w:p>
    <w:tbl>
      <w:tblPr>
        <w:tblStyle w:val="13"/>
        <w:tblW w:w="8785" w:type="dxa"/>
        <w:tblInd w:w="93" w:type="dxa"/>
        <w:tblLayout w:type="fixed"/>
        <w:tblCellMar>
          <w:top w:w="0" w:type="dxa"/>
          <w:left w:w="108" w:type="dxa"/>
          <w:bottom w:w="0" w:type="dxa"/>
          <w:right w:w="108" w:type="dxa"/>
        </w:tblCellMar>
      </w:tblPr>
      <w:tblGrid>
        <w:gridCol w:w="1311"/>
        <w:gridCol w:w="7474"/>
      </w:tblGrid>
      <w:tr w14:paraId="56725807">
        <w:tblPrEx>
          <w:tblCellMar>
            <w:top w:w="0" w:type="dxa"/>
            <w:left w:w="108" w:type="dxa"/>
            <w:bottom w:w="0" w:type="dxa"/>
            <w:right w:w="108" w:type="dxa"/>
          </w:tblCellMar>
        </w:tblPrEx>
        <w:trPr>
          <w:trHeight w:val="354" w:hRule="atLeast"/>
        </w:trPr>
        <w:tc>
          <w:tcPr>
            <w:tcW w:w="1311" w:type="dxa"/>
            <w:tcBorders>
              <w:top w:val="single" w:color="000000" w:sz="4" w:space="0"/>
              <w:left w:val="single" w:color="000000" w:sz="8" w:space="0"/>
              <w:bottom w:val="single" w:color="000000" w:sz="4" w:space="0"/>
              <w:right w:val="single" w:color="000000" w:sz="4" w:space="0"/>
            </w:tcBorders>
            <w:shd w:val="clear" w:color="auto" w:fill="ADB9CA" w:themeFill="text2" w:themeFillTint="66"/>
            <w:noWrap/>
            <w:vAlign w:val="center"/>
          </w:tcPr>
          <w:p w14:paraId="04F97F2A">
            <w:pPr>
              <w:widowControl/>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功能名称</w:t>
            </w:r>
          </w:p>
        </w:tc>
        <w:tc>
          <w:tcPr>
            <w:tcW w:w="7474" w:type="dxa"/>
            <w:tcBorders>
              <w:top w:val="single" w:color="000000" w:sz="4" w:space="0"/>
              <w:left w:val="single" w:color="000000" w:sz="4" w:space="0"/>
              <w:bottom w:val="single" w:color="000000" w:sz="4" w:space="0"/>
              <w:right w:val="single" w:color="000000" w:sz="4" w:space="0"/>
            </w:tcBorders>
            <w:shd w:val="clear" w:color="auto" w:fill="ADB9CA" w:themeFill="text2" w:themeFillTint="66"/>
            <w:noWrap/>
            <w:vAlign w:val="center"/>
          </w:tcPr>
          <w:p w14:paraId="405ED7E7">
            <w:pPr>
              <w:widowControl/>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功能描述</w:t>
            </w:r>
          </w:p>
        </w:tc>
      </w:tr>
      <w:tr w14:paraId="2D6BC35E">
        <w:tblPrEx>
          <w:tblCellMar>
            <w:top w:w="0" w:type="dxa"/>
            <w:left w:w="108" w:type="dxa"/>
            <w:bottom w:w="0" w:type="dxa"/>
            <w:right w:w="108" w:type="dxa"/>
          </w:tblCellMar>
        </w:tblPrEx>
        <w:trPr>
          <w:trHeight w:val="1035" w:hRule="atLeast"/>
        </w:trPr>
        <w:tc>
          <w:tcPr>
            <w:tcW w:w="131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52D704E">
            <w:pPr>
              <w:widowControl/>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基础接口</w:t>
            </w:r>
          </w:p>
        </w:tc>
        <w:tc>
          <w:tcPr>
            <w:tcW w:w="7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17E10">
            <w:pPr>
              <w:widowControl/>
              <w:jc w:val="left"/>
              <w:textAlignment w:val="center"/>
              <w:rPr>
                <w:rFonts w:hint="eastAsia" w:ascii="仿宋" w:hAnsi="仿宋" w:eastAsia="仿宋" w:cs="仿宋"/>
                <w:color w:val="auto"/>
                <w:kern w:val="0"/>
                <w:sz w:val="24"/>
                <w:szCs w:val="24"/>
                <w:lang w:eastAsia="zh-CN" w:bidi="ar"/>
              </w:rPr>
            </w:pPr>
            <w:r>
              <w:rPr>
                <w:rFonts w:hint="eastAsia" w:ascii="仿宋" w:hAnsi="仿宋" w:eastAsia="仿宋" w:cs="仿宋"/>
                <w:color w:val="auto"/>
                <w:kern w:val="0"/>
                <w:sz w:val="24"/>
                <w:szCs w:val="24"/>
                <w:lang w:bidi="ar"/>
              </w:rPr>
              <w:t>1、</w:t>
            </w: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支持与医院HIS系统的多种接口方式获取患者的基本信息、检查申请信息、缴费</w:t>
            </w:r>
            <w:r>
              <w:rPr>
                <w:rFonts w:hint="eastAsia" w:ascii="仿宋" w:hAnsi="仿宋" w:eastAsia="仿宋" w:cs="仿宋"/>
                <w:color w:val="auto"/>
                <w:kern w:val="0"/>
                <w:sz w:val="24"/>
                <w:szCs w:val="24"/>
                <w:lang w:val="en-US" w:eastAsia="zh-CN" w:bidi="ar"/>
              </w:rPr>
              <w:t>状态</w:t>
            </w:r>
            <w:r>
              <w:rPr>
                <w:rFonts w:hint="eastAsia" w:ascii="仿宋" w:hAnsi="仿宋" w:eastAsia="仿宋" w:cs="仿宋"/>
                <w:color w:val="auto"/>
                <w:kern w:val="0"/>
                <w:sz w:val="24"/>
                <w:szCs w:val="24"/>
                <w:lang w:bidi="ar"/>
              </w:rPr>
              <w:t>等</w:t>
            </w:r>
          </w:p>
          <w:p w14:paraId="28AEC58F">
            <w:pPr>
              <w:widowControl/>
              <w:jc w:val="left"/>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bidi="ar"/>
              </w:rPr>
              <w:t>2、</w:t>
            </w: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支持患者检查完毕后，回传给HIS确费通知</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val="en-US" w:eastAsia="zh-CN" w:bidi="ar"/>
              </w:rPr>
              <w:t>检查结果</w:t>
            </w:r>
          </w:p>
          <w:p w14:paraId="75509452">
            <w:pPr>
              <w:widowControl/>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3、</w:t>
            </w: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支持与第三方系统</w:t>
            </w:r>
            <w:r>
              <w:rPr>
                <w:rFonts w:hint="eastAsia" w:ascii="仿宋" w:hAnsi="仿宋" w:eastAsia="仿宋" w:cs="仿宋"/>
                <w:color w:val="auto"/>
                <w:kern w:val="0"/>
                <w:sz w:val="24"/>
                <w:szCs w:val="24"/>
                <w:lang w:val="en-US" w:eastAsia="zh-CN" w:bidi="ar"/>
              </w:rPr>
              <w:t>对接</w:t>
            </w:r>
            <w:r>
              <w:rPr>
                <w:rFonts w:hint="eastAsia" w:ascii="仿宋" w:hAnsi="仿宋" w:eastAsia="仿宋" w:cs="仿宋"/>
                <w:color w:val="auto"/>
                <w:kern w:val="0"/>
                <w:sz w:val="24"/>
                <w:szCs w:val="24"/>
                <w:lang w:bidi="ar"/>
              </w:rPr>
              <w:t>（HIS、门诊电子病历、住院电子病历</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val="en-US" w:eastAsia="zh-CN" w:bidi="ar"/>
              </w:rPr>
              <w:t>创想医生、设备效益分析系统、嘉和平台、体检系统、影像中心</w:t>
            </w:r>
            <w:r>
              <w:rPr>
                <w:rFonts w:hint="eastAsia" w:ascii="仿宋" w:hAnsi="仿宋" w:eastAsia="仿宋" w:cs="仿宋"/>
                <w:color w:val="auto"/>
                <w:kern w:val="0"/>
                <w:sz w:val="24"/>
                <w:szCs w:val="24"/>
                <w:lang w:bidi="ar"/>
              </w:rPr>
              <w:t>）</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val="en-US" w:eastAsia="zh-CN" w:bidi="ar"/>
              </w:rPr>
              <w:t>将检查信息提供给第三方系统，并提供</w:t>
            </w:r>
            <w:r>
              <w:rPr>
                <w:rFonts w:hint="eastAsia" w:ascii="仿宋" w:hAnsi="仿宋" w:eastAsia="仿宋" w:cs="仿宋"/>
                <w:color w:val="auto"/>
                <w:kern w:val="0"/>
                <w:sz w:val="24"/>
                <w:szCs w:val="24"/>
                <w:lang w:bidi="ar"/>
              </w:rPr>
              <w:t>集成的浏览界面</w:t>
            </w:r>
          </w:p>
          <w:p w14:paraId="50FDC58F">
            <w:pPr>
              <w:widowControl/>
              <w:jc w:val="left"/>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4、需支持上传到上级要求的平台（例如全民健康平台）</w:t>
            </w:r>
          </w:p>
        </w:tc>
      </w:tr>
      <w:tr w14:paraId="3729DC73">
        <w:tblPrEx>
          <w:tblCellMar>
            <w:top w:w="0" w:type="dxa"/>
            <w:left w:w="108" w:type="dxa"/>
            <w:bottom w:w="0" w:type="dxa"/>
            <w:right w:w="108" w:type="dxa"/>
          </w:tblCellMar>
        </w:tblPrEx>
        <w:trPr>
          <w:trHeight w:val="459" w:hRule="atLeast"/>
        </w:trPr>
        <w:tc>
          <w:tcPr>
            <w:tcW w:w="131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5B2112">
            <w:pPr>
              <w:widowControl/>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设备连接与数据传输</w:t>
            </w:r>
          </w:p>
        </w:tc>
        <w:tc>
          <w:tcPr>
            <w:tcW w:w="7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F547">
            <w:pPr>
              <w:widowControl/>
              <w:numPr>
                <w:ilvl w:val="0"/>
                <w:numId w:val="2"/>
              </w:numPr>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支持连接目前眼科现有设备</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bidi="ar"/>
              </w:rPr>
              <w:t>会为各类眼科设备提供最优的设备连接方式。可以获得所连接设备的影像资料、检查报告等信息。</w:t>
            </w:r>
          </w:p>
          <w:p w14:paraId="50AC4142">
            <w:pPr>
              <w:widowControl/>
              <w:numPr>
                <w:ilvl w:val="0"/>
                <w:numId w:val="2"/>
              </w:numPr>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支持技师无需录入患者姓名，进行扫码（或双击）即可接诊或检查，并且患者基本信息会自动写入设备软件中。节省技师工作时间。</w:t>
            </w:r>
          </w:p>
          <w:p w14:paraId="43E0C30D">
            <w:pPr>
              <w:widowControl/>
              <w:numPr>
                <w:ilvl w:val="0"/>
                <w:numId w:val="2"/>
              </w:numPr>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支持图像上传界面支持自动迷你收起，不影响设备采集，方便技师操作，一键实现报告上传。</w:t>
            </w:r>
          </w:p>
        </w:tc>
      </w:tr>
      <w:tr w14:paraId="075F32E8">
        <w:tblPrEx>
          <w:tblCellMar>
            <w:top w:w="0" w:type="dxa"/>
            <w:left w:w="108" w:type="dxa"/>
            <w:bottom w:w="0" w:type="dxa"/>
            <w:right w:w="108" w:type="dxa"/>
          </w:tblCellMar>
        </w:tblPrEx>
        <w:trPr>
          <w:trHeight w:val="1035" w:hRule="atLeast"/>
        </w:trPr>
        <w:tc>
          <w:tcPr>
            <w:tcW w:w="131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9FEB95">
            <w:pPr>
              <w:widowControl/>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报告中心</w:t>
            </w:r>
          </w:p>
          <w:p w14:paraId="6984025E">
            <w:pPr>
              <w:jc w:val="left"/>
              <w:rPr>
                <w:rFonts w:hint="eastAsia" w:ascii="仿宋" w:hAnsi="仿宋" w:eastAsia="仿宋" w:cs="仿宋"/>
                <w:color w:val="auto"/>
                <w:sz w:val="24"/>
                <w:szCs w:val="24"/>
              </w:rPr>
            </w:pPr>
          </w:p>
        </w:tc>
        <w:tc>
          <w:tcPr>
            <w:tcW w:w="7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0BC2">
            <w:pPr>
              <w:widowControl/>
              <w:numPr>
                <w:ilvl w:val="0"/>
                <w:numId w:val="3"/>
              </w:numPr>
              <w:ind w:left="210" w:leftChars="0" w:firstLineChars="0"/>
              <w:textAlignment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highlight w:val="none"/>
                <w:lang w:bidi="ar"/>
              </w:rPr>
              <w:t>报告书写可提供不同书写模式：设备自带模式、自定义模式</w:t>
            </w:r>
          </w:p>
          <w:p w14:paraId="4CCF9F71">
            <w:pPr>
              <w:widowControl/>
              <w:numPr>
                <w:ilvl w:val="0"/>
                <w:numId w:val="3"/>
              </w:numPr>
              <w:ind w:left="210" w:leftChars="0" w:firstLineChars="0"/>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highlight w:val="none"/>
                <w:lang w:bidi="ar"/>
              </w:rPr>
              <w:t>提供历史报告引用、自定义报告模板及常见病报告书写常用字段，便于引用</w:t>
            </w:r>
          </w:p>
          <w:p w14:paraId="745AE94E">
            <w:pPr>
              <w:widowControl/>
              <w:numPr>
                <w:ilvl w:val="0"/>
                <w:numId w:val="3"/>
              </w:numPr>
              <w:ind w:left="210" w:leftChars="0" w:firstLineChars="0"/>
              <w:textAlignment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highlight w:val="none"/>
                <w:lang w:bidi="ar"/>
              </w:rPr>
              <w:t>报告模板结构化，便于后期检索统计</w:t>
            </w:r>
          </w:p>
        </w:tc>
      </w:tr>
      <w:tr w14:paraId="2519AF0A">
        <w:tblPrEx>
          <w:tblCellMar>
            <w:top w:w="0" w:type="dxa"/>
            <w:left w:w="108" w:type="dxa"/>
            <w:bottom w:w="0" w:type="dxa"/>
            <w:right w:w="108" w:type="dxa"/>
          </w:tblCellMar>
        </w:tblPrEx>
        <w:trPr>
          <w:trHeight w:val="2760" w:hRule="atLeast"/>
        </w:trPr>
        <w:tc>
          <w:tcPr>
            <w:tcW w:w="131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2951A0">
            <w:pPr>
              <w:widowControl/>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kern w:val="0"/>
                <w:sz w:val="24"/>
                <w:szCs w:val="24"/>
                <w:lang w:val="en-US" w:eastAsia="zh-CN" w:bidi="ar"/>
              </w:rPr>
              <w:t>专业</w:t>
            </w:r>
            <w:r>
              <w:rPr>
                <w:rFonts w:hint="eastAsia" w:ascii="仿宋" w:hAnsi="仿宋" w:eastAsia="仿宋" w:cs="仿宋"/>
                <w:color w:val="auto"/>
                <w:kern w:val="0"/>
                <w:sz w:val="24"/>
                <w:szCs w:val="24"/>
                <w:lang w:bidi="ar"/>
              </w:rPr>
              <w:t>影像浏览</w:t>
            </w:r>
            <w:r>
              <w:rPr>
                <w:rFonts w:hint="eastAsia" w:ascii="仿宋" w:hAnsi="仿宋" w:eastAsia="仿宋" w:cs="仿宋"/>
                <w:color w:val="auto"/>
                <w:kern w:val="0"/>
                <w:sz w:val="24"/>
                <w:szCs w:val="24"/>
                <w:lang w:val="en-US" w:eastAsia="zh-CN" w:bidi="ar"/>
              </w:rPr>
              <w:t>终端</w:t>
            </w:r>
          </w:p>
        </w:tc>
        <w:tc>
          <w:tcPr>
            <w:tcW w:w="7474" w:type="dxa"/>
            <w:tcBorders>
              <w:top w:val="single" w:color="000000" w:sz="4" w:space="0"/>
              <w:left w:val="single" w:color="000000" w:sz="4" w:space="0"/>
              <w:bottom w:val="single" w:color="000000" w:sz="4" w:space="0"/>
              <w:right w:val="single" w:color="000000" w:sz="4" w:space="0"/>
            </w:tcBorders>
            <w:shd w:val="clear" w:color="auto" w:fill="auto"/>
          </w:tcPr>
          <w:p w14:paraId="556FDCAF">
            <w:pPr>
              <w:widowControl/>
              <w:numPr>
                <w:ilvl w:val="0"/>
                <w:numId w:val="4"/>
              </w:numPr>
              <w:jc w:val="left"/>
              <w:textAlignment w:val="top"/>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highlight w:val="none"/>
                <w:lang w:bidi="ar"/>
              </w:rPr>
              <w:t xml:space="preserve">检查图像及报告可以按照检查时间、检查类别分类显示 </w:t>
            </w:r>
          </w:p>
          <w:p w14:paraId="627D51AF">
            <w:pPr>
              <w:widowControl/>
              <w:numPr>
                <w:ilvl w:val="0"/>
                <w:numId w:val="4"/>
              </w:numPr>
              <w:jc w:val="left"/>
              <w:textAlignment w:val="top"/>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highlight w:val="none"/>
                <w:lang w:val="en-US" w:eastAsia="zh-Hans" w:bidi="ar"/>
              </w:rPr>
              <w:t>自定义常用影像浏览模式设定</w:t>
            </w:r>
            <w:r>
              <w:rPr>
                <w:rFonts w:hint="eastAsia" w:ascii="仿宋" w:hAnsi="仿宋" w:eastAsia="仿宋" w:cs="仿宋"/>
                <w:color w:val="auto"/>
                <w:kern w:val="0"/>
                <w:sz w:val="24"/>
                <w:szCs w:val="24"/>
                <w:highlight w:val="none"/>
                <w:lang w:eastAsia="zh-Hans" w:bidi="ar"/>
              </w:rPr>
              <w:t>，</w:t>
            </w:r>
            <w:r>
              <w:rPr>
                <w:rFonts w:hint="eastAsia" w:ascii="仿宋" w:hAnsi="仿宋" w:eastAsia="仿宋" w:cs="仿宋"/>
                <w:color w:val="auto"/>
                <w:kern w:val="0"/>
                <w:sz w:val="24"/>
                <w:szCs w:val="24"/>
                <w:highlight w:val="none"/>
                <w:lang w:val="en-US" w:eastAsia="zh-Hans" w:bidi="ar"/>
              </w:rPr>
              <w:t>便于医生根据个人诊疗需求快速定位影像模式</w:t>
            </w:r>
          </w:p>
          <w:p w14:paraId="1B9E9A77">
            <w:pPr>
              <w:widowControl/>
              <w:numPr>
                <w:ilvl w:val="0"/>
                <w:numId w:val="4"/>
              </w:numPr>
              <w:jc w:val="left"/>
              <w:textAlignment w:val="top"/>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highlight w:val="none"/>
                <w:lang w:bidi="ar"/>
              </w:rPr>
              <w:t>提供临床全面的浏览模式：包括</w:t>
            </w:r>
            <w:r>
              <w:rPr>
                <w:rFonts w:hint="eastAsia" w:ascii="仿宋" w:hAnsi="仿宋" w:eastAsia="仿宋" w:cs="仿宋"/>
                <w:color w:val="auto"/>
                <w:kern w:val="0"/>
                <w:sz w:val="24"/>
                <w:szCs w:val="24"/>
                <w:highlight w:val="none"/>
                <w:lang w:val="en-US" w:eastAsia="zh-Hans" w:bidi="ar"/>
              </w:rPr>
              <w:t>视力</w:t>
            </w:r>
            <w:r>
              <w:rPr>
                <w:rFonts w:hint="eastAsia" w:ascii="仿宋" w:hAnsi="仿宋" w:eastAsia="仿宋" w:cs="仿宋"/>
                <w:color w:val="auto"/>
                <w:kern w:val="0"/>
                <w:sz w:val="24"/>
                <w:szCs w:val="24"/>
                <w:highlight w:val="none"/>
                <w:lang w:eastAsia="zh-Hans" w:bidi="ar"/>
              </w:rPr>
              <w:t>、</w:t>
            </w:r>
            <w:r>
              <w:rPr>
                <w:rFonts w:hint="eastAsia" w:ascii="仿宋" w:hAnsi="仿宋" w:eastAsia="仿宋" w:cs="仿宋"/>
                <w:color w:val="auto"/>
                <w:kern w:val="0"/>
                <w:sz w:val="24"/>
                <w:szCs w:val="24"/>
                <w:highlight w:val="none"/>
                <w:lang w:val="en-US" w:eastAsia="zh-Hans" w:bidi="ar"/>
              </w:rPr>
              <w:t>眼压</w:t>
            </w:r>
            <w:r>
              <w:rPr>
                <w:rFonts w:hint="eastAsia" w:ascii="仿宋" w:hAnsi="仿宋" w:eastAsia="仿宋" w:cs="仿宋"/>
                <w:color w:val="auto"/>
                <w:kern w:val="0"/>
                <w:sz w:val="24"/>
                <w:szCs w:val="24"/>
                <w:highlight w:val="none"/>
                <w:lang w:eastAsia="zh-Hans" w:bidi="ar"/>
              </w:rPr>
              <w:t>、</w:t>
            </w:r>
            <w:r>
              <w:rPr>
                <w:rFonts w:hint="eastAsia" w:ascii="仿宋" w:hAnsi="仿宋" w:eastAsia="仿宋" w:cs="仿宋"/>
                <w:color w:val="auto"/>
                <w:kern w:val="0"/>
                <w:sz w:val="24"/>
                <w:szCs w:val="24"/>
                <w:highlight w:val="none"/>
                <w:lang w:val="en-US" w:eastAsia="zh-Hans" w:bidi="ar"/>
              </w:rPr>
              <w:t>验光等数值型结果浏览</w:t>
            </w:r>
            <w:r>
              <w:rPr>
                <w:rFonts w:hint="eastAsia" w:ascii="仿宋" w:hAnsi="仿宋" w:eastAsia="仿宋" w:cs="仿宋"/>
                <w:color w:val="auto"/>
                <w:kern w:val="0"/>
                <w:sz w:val="24"/>
                <w:szCs w:val="24"/>
                <w:highlight w:val="none"/>
                <w:lang w:eastAsia="zh-Hans" w:bidi="ar"/>
              </w:rPr>
              <w:t>、</w:t>
            </w:r>
            <w:r>
              <w:rPr>
                <w:rFonts w:hint="eastAsia" w:ascii="仿宋" w:hAnsi="仿宋" w:eastAsia="仿宋" w:cs="仿宋"/>
                <w:color w:val="auto"/>
                <w:kern w:val="0"/>
                <w:sz w:val="24"/>
                <w:szCs w:val="24"/>
                <w:highlight w:val="none"/>
                <w:lang w:val="en-US" w:eastAsia="zh-Hans" w:bidi="ar"/>
              </w:rPr>
              <w:t>影像</w:t>
            </w:r>
            <w:r>
              <w:rPr>
                <w:rFonts w:hint="eastAsia" w:ascii="仿宋" w:hAnsi="仿宋" w:eastAsia="仿宋" w:cs="仿宋"/>
                <w:color w:val="auto"/>
                <w:kern w:val="0"/>
                <w:sz w:val="24"/>
                <w:szCs w:val="24"/>
                <w:highlight w:val="none"/>
                <w:lang w:bidi="ar"/>
              </w:rPr>
              <w:t>像全屏浏览、PDF报告浏览、视频影像播放</w:t>
            </w:r>
          </w:p>
          <w:p w14:paraId="2D7DCBED">
            <w:pPr>
              <w:widowControl/>
              <w:numPr>
                <w:ilvl w:val="0"/>
                <w:numId w:val="4"/>
              </w:numPr>
              <w:jc w:val="left"/>
              <w:textAlignment w:val="top"/>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highlight w:val="none"/>
                <w:lang w:bidi="ar"/>
              </w:rPr>
              <w:t>多种模式对比浏览，</w:t>
            </w:r>
            <w:r>
              <w:rPr>
                <w:rFonts w:hint="eastAsia" w:ascii="仿宋" w:hAnsi="仿宋" w:eastAsia="仿宋" w:cs="仿宋"/>
                <w:color w:val="auto"/>
                <w:kern w:val="0"/>
                <w:sz w:val="24"/>
                <w:szCs w:val="24"/>
                <w:highlight w:val="none"/>
                <w:lang w:val="en-US" w:eastAsia="zh-Hans" w:bidi="ar"/>
              </w:rPr>
              <w:t>包括不同设备输出影像的同屏对比浏览</w:t>
            </w:r>
            <w:r>
              <w:rPr>
                <w:rFonts w:hint="eastAsia" w:ascii="仿宋" w:hAnsi="仿宋" w:eastAsia="仿宋" w:cs="仿宋"/>
                <w:color w:val="auto"/>
                <w:kern w:val="0"/>
                <w:sz w:val="24"/>
                <w:szCs w:val="24"/>
                <w:highlight w:val="none"/>
                <w:lang w:eastAsia="zh-Hans" w:bidi="ar"/>
              </w:rPr>
              <w:t>、</w:t>
            </w:r>
            <w:r>
              <w:rPr>
                <w:rFonts w:hint="eastAsia" w:ascii="仿宋" w:hAnsi="仿宋" w:eastAsia="仿宋" w:cs="仿宋"/>
                <w:color w:val="auto"/>
                <w:kern w:val="0"/>
                <w:sz w:val="24"/>
                <w:szCs w:val="24"/>
                <w:highlight w:val="none"/>
                <w:lang w:val="en-US" w:eastAsia="zh-Hans" w:bidi="ar"/>
              </w:rPr>
              <w:t>同一设备不同时期影像对比浏览</w:t>
            </w:r>
          </w:p>
          <w:p w14:paraId="341C4B6A">
            <w:pPr>
              <w:widowControl/>
              <w:numPr>
                <w:ilvl w:val="0"/>
                <w:numId w:val="4"/>
              </w:numPr>
              <w:ind w:left="0" w:leftChars="0" w:firstLine="0" w:firstLineChars="0"/>
              <w:jc w:val="left"/>
              <w:textAlignment w:val="top"/>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highlight w:val="none"/>
                <w:lang w:val="en-US" w:eastAsia="zh-Hans" w:bidi="ar"/>
              </w:rPr>
              <w:t>OCT原始图像浏览</w:t>
            </w:r>
            <w:r>
              <w:rPr>
                <w:rFonts w:hint="eastAsia" w:ascii="仿宋" w:hAnsi="仿宋" w:eastAsia="仿宋" w:cs="仿宋"/>
                <w:color w:val="auto"/>
                <w:kern w:val="0"/>
                <w:sz w:val="24"/>
                <w:szCs w:val="24"/>
                <w:highlight w:val="none"/>
                <w:lang w:eastAsia="zh-Hans" w:bidi="ar"/>
              </w:rPr>
              <w:t>，</w:t>
            </w:r>
            <w:r>
              <w:rPr>
                <w:rFonts w:hint="eastAsia" w:ascii="仿宋" w:hAnsi="仿宋" w:eastAsia="仿宋" w:cs="仿宋"/>
                <w:color w:val="auto"/>
                <w:kern w:val="0"/>
                <w:sz w:val="24"/>
                <w:szCs w:val="24"/>
                <w:highlight w:val="none"/>
                <w:lang w:val="en-US" w:eastAsia="zh-Hans" w:bidi="ar"/>
              </w:rPr>
              <w:t>眼底参考图像定位线及OCT断层影像联动播放</w:t>
            </w:r>
          </w:p>
          <w:p w14:paraId="171F79EF">
            <w:pPr>
              <w:widowControl/>
              <w:numPr>
                <w:ilvl w:val="0"/>
                <w:numId w:val="4"/>
              </w:numPr>
              <w:ind w:left="0" w:leftChars="0" w:firstLine="0" w:firstLineChars="0"/>
              <w:jc w:val="left"/>
              <w:textAlignment w:val="top"/>
              <w:rPr>
                <w:rFonts w:hint="eastAsia" w:ascii="仿宋" w:hAnsi="仿宋" w:eastAsia="仿宋" w:cs="仿宋"/>
                <w:color w:val="auto"/>
                <w:kern w:val="0"/>
                <w:sz w:val="24"/>
                <w:szCs w:val="24"/>
                <w:highlight w:val="none"/>
                <w:lang w:eastAsia="zh-Hans"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highlight w:val="none"/>
                <w:lang w:bidi="ar"/>
              </w:rPr>
              <w:t>多种影像后处理功能，支持报告图像的亮度对比度调节、图像局部放大、测量、</w:t>
            </w:r>
            <w:r>
              <w:rPr>
                <w:rFonts w:hint="eastAsia" w:ascii="仿宋" w:hAnsi="仿宋" w:eastAsia="仿宋" w:cs="仿宋"/>
                <w:color w:val="auto"/>
                <w:kern w:val="0"/>
                <w:sz w:val="24"/>
                <w:szCs w:val="24"/>
                <w:highlight w:val="none"/>
                <w:lang w:val="en-US" w:eastAsia="zh-Hans" w:bidi="ar"/>
              </w:rPr>
              <w:t>标注</w:t>
            </w:r>
            <w:r>
              <w:rPr>
                <w:rFonts w:hint="eastAsia" w:ascii="仿宋" w:hAnsi="仿宋" w:eastAsia="仿宋" w:cs="仿宋"/>
                <w:color w:val="auto"/>
                <w:kern w:val="0"/>
                <w:sz w:val="24"/>
                <w:szCs w:val="24"/>
                <w:highlight w:val="none"/>
                <w:lang w:bidi="ar"/>
              </w:rPr>
              <w:t xml:space="preserve">等操作。                                                                             </w:t>
            </w:r>
          </w:p>
          <w:p w14:paraId="78CFFA6B">
            <w:pPr>
              <w:widowControl/>
              <w:numPr>
                <w:ilvl w:val="0"/>
                <w:numId w:val="4"/>
              </w:numPr>
              <w:ind w:left="0" w:leftChars="0" w:firstLine="0" w:firstLineChars="0"/>
              <w:jc w:val="left"/>
              <w:textAlignment w:val="top"/>
              <w:rPr>
                <w:rFonts w:hint="eastAsia" w:ascii="仿宋" w:hAnsi="仿宋" w:eastAsia="仿宋" w:cs="仿宋"/>
                <w:color w:val="auto"/>
                <w:kern w:val="0"/>
                <w:sz w:val="24"/>
                <w:szCs w:val="24"/>
                <w:highlight w:val="none"/>
                <w:lang w:eastAsia="zh-Hans"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highlight w:val="none"/>
                <w:lang w:bidi="ar"/>
              </w:rPr>
              <w:t>双屏、宽屏显示图像，快捷键、拖拽等浏览操作</w:t>
            </w:r>
          </w:p>
        </w:tc>
      </w:tr>
      <w:tr w14:paraId="40730B1A">
        <w:tblPrEx>
          <w:tblCellMar>
            <w:top w:w="0" w:type="dxa"/>
            <w:left w:w="108" w:type="dxa"/>
            <w:bottom w:w="0" w:type="dxa"/>
            <w:right w:w="108" w:type="dxa"/>
          </w:tblCellMar>
        </w:tblPrEx>
        <w:trPr>
          <w:trHeight w:val="1027" w:hRule="atLeast"/>
        </w:trPr>
        <w:tc>
          <w:tcPr>
            <w:tcW w:w="131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28CBA02">
            <w:pPr>
              <w:widowControl/>
              <w:jc w:val="left"/>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快捷影像浏览终端</w:t>
            </w:r>
          </w:p>
        </w:tc>
        <w:tc>
          <w:tcPr>
            <w:tcW w:w="7474" w:type="dxa"/>
            <w:tcBorders>
              <w:top w:val="single" w:color="000000" w:sz="4" w:space="0"/>
              <w:left w:val="single" w:color="000000" w:sz="4" w:space="0"/>
              <w:bottom w:val="single" w:color="000000" w:sz="4" w:space="0"/>
              <w:right w:val="single" w:color="000000" w:sz="4" w:space="0"/>
            </w:tcBorders>
            <w:shd w:val="clear" w:color="auto" w:fill="auto"/>
          </w:tcPr>
          <w:p w14:paraId="07106A71">
            <w:pPr>
              <w:widowControl/>
              <w:numPr>
                <w:ilvl w:val="0"/>
                <w:numId w:val="5"/>
              </w:numPr>
              <w:jc w:val="left"/>
              <w:textAlignment w:val="top"/>
              <w:rPr>
                <w:rStyle w:val="36"/>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Style w:val="36"/>
                <w:rFonts w:hint="eastAsia" w:ascii="仿宋" w:hAnsi="仿宋" w:eastAsia="仿宋" w:cs="仿宋"/>
                <w:b w:val="0"/>
                <w:bCs w:val="0"/>
                <w:color w:val="auto"/>
                <w:sz w:val="24"/>
                <w:szCs w:val="24"/>
                <w:highlight w:val="none"/>
                <w:lang w:val="en-US" w:eastAsia="zh-CN" w:bidi="ar"/>
              </w:rPr>
              <w:t>当前患者的全部检查资料按时间排序，可通过键盘快速切换下一张图片</w:t>
            </w:r>
          </w:p>
          <w:p w14:paraId="567D23C5">
            <w:pPr>
              <w:widowControl/>
              <w:numPr>
                <w:ilvl w:val="0"/>
                <w:numId w:val="5"/>
              </w:numPr>
              <w:jc w:val="left"/>
              <w:textAlignment w:val="top"/>
              <w:rPr>
                <w:rStyle w:val="36"/>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Style w:val="36"/>
                <w:rFonts w:hint="eastAsia" w:ascii="仿宋" w:hAnsi="仿宋" w:eastAsia="仿宋" w:cs="仿宋"/>
                <w:b w:val="0"/>
                <w:bCs w:val="0"/>
                <w:color w:val="auto"/>
                <w:sz w:val="24"/>
                <w:szCs w:val="24"/>
                <w:highlight w:val="none"/>
                <w:lang w:val="en-US" w:eastAsia="zh-CN" w:bidi="ar"/>
              </w:rPr>
              <w:t>检查项导航窗口，可快速切换检查项</w:t>
            </w:r>
          </w:p>
          <w:p w14:paraId="26645D78">
            <w:pPr>
              <w:widowControl/>
              <w:numPr>
                <w:ilvl w:val="0"/>
                <w:numId w:val="5"/>
              </w:numPr>
              <w:jc w:val="left"/>
              <w:textAlignment w:val="top"/>
              <w:rPr>
                <w:rStyle w:val="36"/>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Style w:val="36"/>
                <w:rFonts w:hint="eastAsia" w:ascii="仿宋" w:hAnsi="仿宋" w:eastAsia="仿宋" w:cs="仿宋"/>
                <w:b w:val="0"/>
                <w:bCs w:val="0"/>
                <w:color w:val="auto"/>
                <w:sz w:val="24"/>
                <w:szCs w:val="24"/>
                <w:highlight w:val="none"/>
                <w:lang w:val="en-US" w:eastAsia="zh-CN" w:bidi="ar"/>
              </w:rPr>
              <w:t>双眼对比模式，可对比本次就诊检查结果和历史检查结果</w:t>
            </w:r>
          </w:p>
        </w:tc>
      </w:tr>
      <w:tr w14:paraId="1278114C">
        <w:tblPrEx>
          <w:tblCellMar>
            <w:top w:w="0" w:type="dxa"/>
            <w:left w:w="108" w:type="dxa"/>
            <w:bottom w:w="0" w:type="dxa"/>
            <w:right w:w="108" w:type="dxa"/>
          </w:tblCellMar>
        </w:tblPrEx>
        <w:trPr>
          <w:trHeight w:val="360" w:hRule="atLeast"/>
        </w:trPr>
        <w:tc>
          <w:tcPr>
            <w:tcW w:w="1311"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8710DFD">
            <w:pPr>
              <w:widowControl/>
              <w:jc w:val="left"/>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管理与统计</w:t>
            </w:r>
          </w:p>
        </w:tc>
        <w:tc>
          <w:tcPr>
            <w:tcW w:w="7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16DA">
            <w:pPr>
              <w:widowControl/>
              <w:jc w:val="left"/>
              <w:textAlignment w:val="center"/>
              <w:rPr>
                <w:rFonts w:hint="eastAsia" w:ascii="仿宋" w:hAnsi="仿宋" w:eastAsia="仿宋" w:cs="仿宋"/>
                <w:color w:val="auto"/>
                <w:kern w:val="2"/>
                <w:sz w:val="24"/>
                <w:szCs w:val="24"/>
                <w:u w:val="none"/>
                <w:lang w:val="en-US" w:eastAsia="zh-CN"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000000" w:themeColor="text1"/>
                <w:kern w:val="0"/>
                <w:sz w:val="24"/>
                <w:szCs w:val="24"/>
                <w:lang w:bidi="ar"/>
                <w14:textFill>
                  <w14:solidFill>
                    <w14:schemeClr w14:val="tx1"/>
                  </w14:solidFill>
                </w14:textFill>
              </w:rPr>
              <w:t>可提供检查开单量、设备使用量、技师工作量、报告书写量统计，为医院提供绩效考核及设备使用效益分析依据</w:t>
            </w:r>
          </w:p>
        </w:tc>
      </w:tr>
      <w:tr w14:paraId="2093EFC5">
        <w:tblPrEx>
          <w:tblCellMar>
            <w:top w:w="0" w:type="dxa"/>
            <w:left w:w="108" w:type="dxa"/>
            <w:bottom w:w="0" w:type="dxa"/>
            <w:right w:w="108" w:type="dxa"/>
          </w:tblCellMar>
        </w:tblPrEx>
        <w:trPr>
          <w:trHeight w:val="360" w:hRule="atLeast"/>
        </w:trPr>
        <w:tc>
          <w:tcPr>
            <w:tcW w:w="1311"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BCF4A2">
            <w:pPr>
              <w:widowControl/>
              <w:jc w:val="left"/>
              <w:textAlignment w:val="center"/>
              <w:rPr>
                <w:rFonts w:hint="eastAsia" w:ascii="仿宋" w:hAnsi="仿宋" w:eastAsia="仿宋" w:cs="仿宋"/>
                <w:color w:val="000000" w:themeColor="text1"/>
                <w:kern w:val="0"/>
                <w:sz w:val="24"/>
                <w:szCs w:val="24"/>
                <w:lang w:val="en-US" w:eastAsia="zh-Hans" w:bidi="ar"/>
                <w14:textFill>
                  <w14:solidFill>
                    <w14:schemeClr w14:val="tx1"/>
                  </w14:solidFill>
                </w14:textFill>
              </w:rPr>
            </w:pPr>
            <w:r>
              <w:rPr>
                <w:rFonts w:hint="eastAsia" w:ascii="仿宋" w:hAnsi="仿宋" w:eastAsia="仿宋" w:cs="仿宋"/>
                <w:color w:val="000000" w:themeColor="text1"/>
                <w:kern w:val="0"/>
                <w:sz w:val="24"/>
                <w:szCs w:val="24"/>
                <w:lang w:val="en-US" w:eastAsia="zh-Hans" w:bidi="ar"/>
                <w14:textFill>
                  <w14:solidFill>
                    <w14:schemeClr w14:val="tx1"/>
                  </w14:solidFill>
                </w14:textFill>
              </w:rPr>
              <w:t>微信公众号推送</w:t>
            </w:r>
          </w:p>
        </w:tc>
        <w:tc>
          <w:tcPr>
            <w:tcW w:w="7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12F75">
            <w:pPr>
              <w:widowControl/>
              <w:jc w:val="left"/>
              <w:textAlignment w:val="center"/>
              <w:rPr>
                <w:rFonts w:hint="eastAsia" w:ascii="仿宋" w:hAnsi="仿宋" w:eastAsia="仿宋" w:cs="仿宋"/>
                <w:color w:val="000000" w:themeColor="text1"/>
                <w:kern w:val="0"/>
                <w:sz w:val="24"/>
                <w:szCs w:val="24"/>
                <w:lang w:val="en-US" w:eastAsia="zh-CN" w:bidi="ar"/>
                <w14:textFill>
                  <w14:solidFill>
                    <w14:schemeClr w14:val="tx1"/>
                  </w14:solidFill>
                </w14:textFill>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000000" w:themeColor="text1"/>
                <w:kern w:val="0"/>
                <w:sz w:val="24"/>
                <w:szCs w:val="24"/>
                <w:lang w:val="en-US" w:eastAsia="zh-Hans" w:bidi="ar"/>
                <w14:textFill>
                  <w14:solidFill>
                    <w14:schemeClr w14:val="tx1"/>
                  </w14:solidFill>
                </w14:textFill>
              </w:rPr>
              <w:t>各类检查数据</w:t>
            </w:r>
            <w:r>
              <w:rPr>
                <w:rFonts w:hint="eastAsia" w:ascii="仿宋" w:hAnsi="仿宋" w:eastAsia="仿宋" w:cs="仿宋"/>
                <w:color w:val="000000" w:themeColor="text1"/>
                <w:kern w:val="0"/>
                <w:sz w:val="24"/>
                <w:szCs w:val="24"/>
                <w:lang w:eastAsia="zh-Hans" w:bidi="ar"/>
                <w14:textFill>
                  <w14:solidFill>
                    <w14:schemeClr w14:val="tx1"/>
                  </w14:solidFill>
                </w14:textFill>
              </w:rPr>
              <w:t>、</w:t>
            </w:r>
            <w:r>
              <w:rPr>
                <w:rFonts w:hint="eastAsia" w:ascii="仿宋" w:hAnsi="仿宋" w:eastAsia="仿宋" w:cs="仿宋"/>
                <w:color w:val="000000" w:themeColor="text1"/>
                <w:kern w:val="0"/>
                <w:sz w:val="24"/>
                <w:szCs w:val="24"/>
                <w:lang w:val="en-US" w:eastAsia="zh-Hans" w:bidi="ar"/>
                <w14:textFill>
                  <w14:solidFill>
                    <w14:schemeClr w14:val="tx1"/>
                  </w14:solidFill>
                </w14:textFill>
              </w:rPr>
              <w:t>影像</w:t>
            </w:r>
            <w:r>
              <w:rPr>
                <w:rFonts w:hint="eastAsia" w:ascii="仿宋" w:hAnsi="仿宋" w:eastAsia="仿宋" w:cs="仿宋"/>
                <w:color w:val="000000" w:themeColor="text1"/>
                <w:kern w:val="0"/>
                <w:sz w:val="24"/>
                <w:szCs w:val="24"/>
                <w:lang w:eastAsia="zh-Hans" w:bidi="ar"/>
                <w14:textFill>
                  <w14:solidFill>
                    <w14:schemeClr w14:val="tx1"/>
                  </w14:solidFill>
                </w14:textFill>
              </w:rPr>
              <w:t>、</w:t>
            </w:r>
            <w:r>
              <w:rPr>
                <w:rFonts w:hint="eastAsia" w:ascii="仿宋" w:hAnsi="仿宋" w:eastAsia="仿宋" w:cs="仿宋"/>
                <w:color w:val="000000" w:themeColor="text1"/>
                <w:kern w:val="0"/>
                <w:sz w:val="24"/>
                <w:szCs w:val="24"/>
                <w:lang w:val="en-US" w:eastAsia="zh-Hans" w:bidi="ar"/>
                <w14:textFill>
                  <w14:solidFill>
                    <w14:schemeClr w14:val="tx1"/>
                  </w14:solidFill>
                </w14:textFill>
              </w:rPr>
              <w:t>报告推送至医院微信公众号供患者进行浏览</w:t>
            </w:r>
          </w:p>
        </w:tc>
      </w:tr>
      <w:tr w14:paraId="7BF4E935">
        <w:tblPrEx>
          <w:tblCellMar>
            <w:top w:w="0" w:type="dxa"/>
            <w:left w:w="108" w:type="dxa"/>
            <w:bottom w:w="0" w:type="dxa"/>
            <w:right w:w="108" w:type="dxa"/>
          </w:tblCellMar>
        </w:tblPrEx>
        <w:trPr>
          <w:trHeight w:val="360" w:hRule="atLeast"/>
        </w:trPr>
        <w:tc>
          <w:tcPr>
            <w:tcW w:w="1311"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66A707D">
            <w:pPr>
              <w:widowControl/>
              <w:jc w:val="left"/>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角色和权限</w:t>
            </w:r>
          </w:p>
        </w:tc>
        <w:tc>
          <w:tcPr>
            <w:tcW w:w="7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4D8C">
            <w:pPr>
              <w:widowControl/>
              <w:numPr>
                <w:ilvl w:val="0"/>
                <w:numId w:val="6"/>
              </w:numP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支持根据医院具体需求</w:t>
            </w:r>
            <w:r>
              <w:rPr>
                <w:rFonts w:hint="eastAsia" w:ascii="仿宋" w:hAnsi="仿宋" w:eastAsia="仿宋" w:cs="仿宋"/>
                <w:color w:val="auto"/>
                <w:kern w:val="0"/>
                <w:sz w:val="24"/>
                <w:szCs w:val="24"/>
                <w:lang w:val="en-US" w:eastAsia="zh-CN" w:bidi="ar"/>
              </w:rPr>
              <w:t>制定使用</w:t>
            </w:r>
            <w:r>
              <w:rPr>
                <w:rFonts w:hint="eastAsia" w:ascii="仿宋" w:hAnsi="仿宋" w:eastAsia="仿宋" w:cs="仿宋"/>
                <w:color w:val="auto"/>
                <w:kern w:val="0"/>
                <w:sz w:val="24"/>
                <w:szCs w:val="24"/>
                <w:lang w:bidi="ar"/>
              </w:rPr>
              <w:t>角色</w:t>
            </w:r>
            <w:r>
              <w:rPr>
                <w:rFonts w:hint="eastAsia" w:ascii="仿宋" w:hAnsi="仿宋" w:eastAsia="仿宋" w:cs="仿宋"/>
                <w:color w:val="auto"/>
                <w:kern w:val="0"/>
                <w:sz w:val="24"/>
                <w:szCs w:val="24"/>
                <w:lang w:eastAsia="zh-CN" w:bidi="ar"/>
              </w:rPr>
              <w:t>，</w:t>
            </w:r>
            <w:r>
              <w:rPr>
                <w:rFonts w:hint="eastAsia" w:ascii="仿宋" w:hAnsi="仿宋" w:eastAsia="仿宋" w:cs="仿宋"/>
                <w:color w:val="auto"/>
                <w:kern w:val="0"/>
                <w:sz w:val="24"/>
                <w:szCs w:val="24"/>
                <w:lang w:val="en-US" w:eastAsia="zh-CN" w:bidi="ar"/>
              </w:rPr>
              <w:t>角色对应相应的功能模块权限</w:t>
            </w:r>
          </w:p>
          <w:p w14:paraId="3D337BB4">
            <w:pPr>
              <w:widowControl/>
              <w:numPr>
                <w:ilvl w:val="0"/>
                <w:numId w:val="6"/>
              </w:numP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lang w:val="en-US" w:eastAsia="zh-CN" w:bidi="ar"/>
              </w:rPr>
              <w:t>设置拷贝权限，确保数据安全</w:t>
            </w:r>
          </w:p>
          <w:p w14:paraId="60B20A96">
            <w:pPr>
              <w:widowControl/>
              <w:numPr>
                <w:ilvl w:val="0"/>
                <w:numId w:val="6"/>
              </w:numP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lang w:val="en-US" w:eastAsia="zh-CN" w:bidi="ar"/>
              </w:rPr>
              <w:t>设置浏览权限，根据权限不同可查看医生/技师本人检查患者的影像资料或全科室影像资料</w:t>
            </w:r>
          </w:p>
          <w:p w14:paraId="560F2282">
            <w:pPr>
              <w:widowControl/>
              <w:numPr>
                <w:ilvl w:val="0"/>
                <w:numId w:val="6"/>
              </w:numPr>
              <w:textAlignment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需</w:t>
            </w:r>
            <w:r>
              <w:rPr>
                <w:rFonts w:hint="eastAsia" w:ascii="仿宋" w:hAnsi="仿宋" w:eastAsia="仿宋" w:cs="仿宋"/>
                <w:color w:val="auto"/>
                <w:kern w:val="0"/>
                <w:sz w:val="24"/>
                <w:szCs w:val="24"/>
                <w:lang w:bidi="ar"/>
              </w:rPr>
              <w:t>支持</w:t>
            </w:r>
            <w:r>
              <w:rPr>
                <w:rFonts w:hint="eastAsia" w:ascii="仿宋" w:hAnsi="仿宋" w:eastAsia="仿宋" w:cs="仿宋"/>
                <w:color w:val="auto"/>
                <w:kern w:val="0"/>
                <w:sz w:val="24"/>
                <w:szCs w:val="24"/>
                <w:lang w:val="en-US" w:eastAsia="zh-CN" w:bidi="ar"/>
              </w:rPr>
              <w:t>VIP患者可进行隐私保护或脱敏显示</w:t>
            </w:r>
          </w:p>
        </w:tc>
      </w:tr>
    </w:tbl>
    <w:p w14:paraId="4B41E253">
      <w:pPr>
        <w:pStyle w:val="32"/>
        <w:rPr>
          <w:rFonts w:hint="eastAsia"/>
        </w:rPr>
      </w:pPr>
      <w:r>
        <w:rPr>
          <w:rFonts w:hint="eastAsia"/>
        </w:rPr>
        <w:t>项目建设内容</w:t>
      </w:r>
    </w:p>
    <w:p w14:paraId="462B2A9E">
      <w:pPr>
        <w:pStyle w:val="3"/>
        <w:spacing w:line="360" w:lineRule="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3.1 </w:t>
      </w:r>
      <w:r>
        <w:rPr>
          <w:rFonts w:hint="eastAsia" w:ascii="仿宋" w:hAnsi="仿宋" w:eastAsia="仿宋" w:cs="仿宋"/>
          <w:sz w:val="28"/>
          <w:szCs w:val="28"/>
        </w:rPr>
        <w:t>对接接口</w:t>
      </w:r>
      <w:r>
        <w:rPr>
          <w:rFonts w:hint="eastAsia" w:ascii="仿宋" w:hAnsi="仿宋" w:eastAsia="仿宋" w:cs="仿宋"/>
          <w:sz w:val="28"/>
          <w:szCs w:val="28"/>
          <w:lang w:eastAsia="zh-CN"/>
        </w:rPr>
        <w:t>：</w:t>
      </w:r>
    </w:p>
    <w:p w14:paraId="010EC977">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3.1.1与医院HIS系统的多种接口方式获取患者的基本信息、检查申请信息、缴费状态等</w:t>
      </w:r>
    </w:p>
    <w:p w14:paraId="2F539A72">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3.1.2系统需要患者检查完毕后，回传给HIS确费通知</w:t>
      </w:r>
    </w:p>
    <w:p w14:paraId="3558D471">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3.1.3系统需要提供与第三方系统（HIS、门诊电子病历、住院电子病历）集成的浏览界面</w:t>
      </w:r>
    </w:p>
    <w:p w14:paraId="0419E6C2">
      <w:pPr>
        <w:spacing w:line="360" w:lineRule="auto"/>
        <w:ind w:firstLine="560" w:firstLineChars="200"/>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CN" w:bidi="ar-SA"/>
        </w:rPr>
        <w:t>3.1.4系统需要</w:t>
      </w:r>
      <w:r>
        <w:rPr>
          <w:rFonts w:hint="eastAsia" w:ascii="仿宋" w:hAnsi="仿宋" w:eastAsia="仿宋" w:cs="仿宋"/>
          <w:kern w:val="2"/>
          <w:sz w:val="28"/>
          <w:szCs w:val="28"/>
          <w:lang w:val="en-US" w:eastAsia="zh-Hans" w:bidi="ar-SA"/>
        </w:rPr>
        <w:t>支持眼科检查影像、报告推送至医院微信公众号供患者进行浏览</w:t>
      </w:r>
    </w:p>
    <w:p w14:paraId="64A54D43">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3.1.5系统需要对接检查执行回写、对接影像数据回写、对接报告回写。</w:t>
      </w:r>
    </w:p>
    <w:p w14:paraId="61413903">
      <w:pPr>
        <w:pStyle w:val="3"/>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3.2设备连接与检查：</w:t>
      </w:r>
    </w:p>
    <w:p w14:paraId="52E30206">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3.2.1全部眼科设备连接：系统可对医院所有设备（包括数值类、影像类设备）全部进行连接，可将患者全部检查结果进行归类整合.</w:t>
      </w:r>
    </w:p>
    <w:p w14:paraId="4E2C741A">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3.2.2 技师刷卡登录功能：支持技师在全部眼科设备，包括无原厂电脑连接的数值设备和有电脑连接的影像设备，检查患者前能够通过刷工卡模式快捷登录，使得系统能够记录每个检查的操作者，从而满足技师工作量自动统计、关键检查的质控追溯和全院信息化等级水平的评审。</w:t>
      </w:r>
    </w:p>
    <w:p w14:paraId="1A6EF545">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3.2.3 受检者身份核对：支持技师在眼科数值和影像检查之前，能够通过扫码患者条码或刷卡等方式，通过PACS系统回显患者基本信息，确认患者身份无误后再开始检查。</w:t>
      </w:r>
    </w:p>
    <w:p w14:paraId="2DC41A28">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3.2.4受检患者信息自动写入眼科设备：支持技师扫描患者条码或确认患者身份后，将患者基本信息自动写入检查设备，无需技师用键盘录入，从而避免了人为录入造成的失误，大大提高了技师工作效率，也节约了患者等待时间。</w:t>
      </w:r>
    </w:p>
    <w:p w14:paraId="572C2BF3">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3.2.5检查结果自动上传：支持技师在完成检查后，全部检查结果和检查报告自动上传或一键上传到PACS系统，包括数值型设备、DICOM的设备和非DICOM的设备。从而大大提高技师的工作效率。</w:t>
      </w:r>
    </w:p>
    <w:p w14:paraId="549EE4B0">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3.2.6数据上传确认：支持技师在完成检查并上传结果到眼科影像管理分析系统后，系统能够回显确认收到检查结果的数量和状态，可支持技师确认，也可以支持在没有增加技师工作流程的情况下完成HIS确费，确保了整个系统没有数据上传丢失的风险，同时也是检查质控和全院信息化等级评审的关键要求。</w:t>
      </w:r>
    </w:p>
    <w:p w14:paraId="6EB824DA">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3.2.7眼科设备全量数据归档功能：眼科影像管理分析系统不仅仅只获取到设备的检查报告，更需要获取到全部的原始检查影像。这样使得医生能够在诊室也能浏览到该患者的全部影像数据，这对疾病诊断非常重要。例如，医生在诊室能够看到患者眼底造影的全部数十张乃至数百张照片，而不仅仅是报告者所选择的数张照片。</w:t>
      </w:r>
    </w:p>
    <w:p w14:paraId="24291225">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3.2.8全量数据归档留存：支持设备全量检查结果归档到眼科影像管理分析系统管理，也避免了以前在设备淘汰更新时或者设备硬盘损坏导致的旧设备中的患者检查结果不能保留的风险，避免了难以对患者疾病历史进程进行随访而带来的诊疗风险。</w:t>
      </w:r>
    </w:p>
    <w:p w14:paraId="4EBF3B58">
      <w:pPr>
        <w:pStyle w:val="3"/>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 影像浏览工作站：</w:t>
      </w:r>
    </w:p>
    <w:p w14:paraId="670484BD">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3.3.1专业浏览 医生在诊室通过扫描患者二维码【条形码】或就诊卡可定位到当前患者，提供临床全面的检查图像报告浏览模式，包括单张图像全屏浏览、PDF报告浏览、视频影像播放，可通过开单时间或检查类别两种形式进行浏览。对于DICOM标准图像，医生可根据临床诊断需要进行不同影像的对比浏览，医生可以根据诊疗需要设定1x1,1x2,2x2等图像显示模式。可在界面中自动生成患者历次视力、眼压等临床需要连续观察指标的数据曲线，为评估患者病情提供便利。多种影像后处理功能，支持报告图像的亮度对比度调节、图像局部放大、测量等操作。</w:t>
      </w:r>
    </w:p>
    <w:p w14:paraId="39A7DE0A">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3.3.2快捷浏览 医生在诊室的快捷浏览模式，能将当前患者的全部检查影像和报告按照检查日期倒序排列，医生只需通过鼠标或键盘快速滚动浏览全部检查；能将选定患者的历次检查图像生成缩略图，在快捷浏览模式下，显示这些缩略图于屏幕底部，按检查日期、检查类型进行排列，医生点选缩略图即可快速打开进行浏览；对选定的检查类型，支持单眼浏览和双眼对比模式浏览，方便医生进行左右眼的病变对照；疾病进展随访模式浏览，对于选定的检查类型，可对比本次就诊检查结果和该患者历史检查结果中同一只眼别的同屏对比；眼科医生通过移动PAD端采用本模式浏览，在无鼠标情况下通过用户触屏完成以上各项功能；</w:t>
      </w:r>
    </w:p>
    <w:p w14:paraId="5A65F821">
      <w:pPr>
        <w:pStyle w:val="3"/>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 眼科特检管理：</w:t>
      </w:r>
    </w:p>
    <w:p w14:paraId="17DD3E18">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3.4.1需要有管理者界面首页实时展示门诊挂号量、各亚专科挂号量、住院病种分析、性别年龄分布、医生工作量、各科室工作量、住院手术量等临床管理统计数据，也可查询相应指标的历史数据。对医院设备使用量和业务量进行相应统计，为管理者提供绩效考核依据，对提高医疗质量和品牌效应提供了数据支持。医生可根据科研需求设定查询条件，比如设定OCT影像报告中出现浆液性神经上皮脱离的患者，系统会自动查询并支持导出，方便进行科研统计。</w:t>
      </w:r>
    </w:p>
    <w:p w14:paraId="682127D1">
      <w:pPr>
        <w:pStyle w:val="3"/>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3.5报告中心：</w:t>
      </w:r>
    </w:p>
    <w:p w14:paraId="7A2F331B">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3.5.1支持报告书写可提供不同书写模式：设备自带模式、自定义模式，支持提供历史报告引用、自定义报告模板及常见病报告书写常用字段，便于引用，支持报告模板结构化，便于后期检索统计</w:t>
      </w:r>
    </w:p>
    <w:p w14:paraId="02CE3902">
      <w:pPr>
        <w:pStyle w:val="3"/>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3.6数据安全：</w:t>
      </w:r>
    </w:p>
    <w:p w14:paraId="2717107C">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3.5.1需要在系统后台进行权限配置：设备权限、用户权限、浏览权限、拷贝权限等，以保证数据的安全性。</w:t>
      </w:r>
    </w:p>
    <w:p w14:paraId="2D4E5C0E">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3.5.2设备权限：此台电脑只可查看已连接的眼科设备，其他设备不可查看；用户权限：不同用户功能权限不同，无该功能权限的用户无法进行设备检查、报告书写或其他操作；</w:t>
      </w:r>
    </w:p>
    <w:p w14:paraId="1E722CD7">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3.5.3浏览权限：可设置该用户角色浏览、统计、系统设置权限，根据权限不同，可查看医生/技师本人检查患者的影像资料或全科室影像资料；      </w:t>
      </w:r>
    </w:p>
    <w:p w14:paraId="0B39C211">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3.5.4拷贝权限：可设置该用户角色是否可以导出患者原始图像资料。</w:t>
      </w:r>
    </w:p>
    <w:p w14:paraId="79C965C1">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3.5.5数据存储：需要采用安全的数据存储方式，如遇医院断电情况可以保证数据能继续运行。如遇网络中断情况，系统会启用应急服务将不能传输的数据临时存储到本地，待网络恢复后再将数据上传。</w:t>
      </w:r>
    </w:p>
    <w:p w14:paraId="403E7788">
      <w:pPr>
        <w:pStyle w:val="32"/>
        <w:rPr>
          <w:rFonts w:hint="eastAsia"/>
        </w:rPr>
      </w:pPr>
      <w:r>
        <w:rPr>
          <w:rFonts w:hint="eastAsia"/>
        </w:rPr>
        <w:t>项目预算说明</w:t>
      </w:r>
    </w:p>
    <w:p w14:paraId="163A30B0">
      <w:pPr>
        <w:spacing w:line="360" w:lineRule="auto"/>
        <w:ind w:firstLine="560" w:firstLineChars="200"/>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根据建设内容给出项目申请预算表或给出市场询价报告(不限于其他医院类似项目的合同价，相关网站类似项目中标价或咨询相关厂家报价)。</w:t>
      </w:r>
    </w:p>
    <w:sectPr>
      <w:pgSz w:w="11905" w:h="16837" w:orient="landscape"/>
      <w:pgMar w:top="1440" w:right="1800" w:bottom="1440" w:left="1800" w:header="850" w:footer="9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83B07"/>
    <w:multiLevelType w:val="singleLevel"/>
    <w:tmpl w:val="90383B07"/>
    <w:lvl w:ilvl="0" w:tentative="0">
      <w:start w:val="1"/>
      <w:numFmt w:val="decimal"/>
      <w:suff w:val="nothing"/>
      <w:lvlText w:val="%1、"/>
      <w:lvlJc w:val="left"/>
      <w:pPr>
        <w:ind w:left="210"/>
      </w:pPr>
    </w:lvl>
  </w:abstractNum>
  <w:abstractNum w:abstractNumId="1">
    <w:nsid w:val="9F9241B4"/>
    <w:multiLevelType w:val="singleLevel"/>
    <w:tmpl w:val="9F9241B4"/>
    <w:lvl w:ilvl="0" w:tentative="0">
      <w:start w:val="1"/>
      <w:numFmt w:val="decimal"/>
      <w:suff w:val="nothing"/>
      <w:lvlText w:val="%1、"/>
      <w:lvlJc w:val="left"/>
    </w:lvl>
  </w:abstractNum>
  <w:abstractNum w:abstractNumId="2">
    <w:nsid w:val="AA42F3F4"/>
    <w:multiLevelType w:val="singleLevel"/>
    <w:tmpl w:val="AA42F3F4"/>
    <w:lvl w:ilvl="0" w:tentative="0">
      <w:start w:val="1"/>
      <w:numFmt w:val="decimal"/>
      <w:suff w:val="nothing"/>
      <w:lvlText w:val="%1、"/>
      <w:lvlJc w:val="left"/>
    </w:lvl>
  </w:abstractNum>
  <w:abstractNum w:abstractNumId="3">
    <w:nsid w:val="CAB69ACD"/>
    <w:multiLevelType w:val="singleLevel"/>
    <w:tmpl w:val="CAB69ACD"/>
    <w:lvl w:ilvl="0" w:tentative="0">
      <w:start w:val="1"/>
      <w:numFmt w:val="decimal"/>
      <w:suff w:val="nothing"/>
      <w:lvlText w:val="%1、"/>
      <w:lvlJc w:val="left"/>
    </w:lvl>
  </w:abstractNum>
  <w:abstractNum w:abstractNumId="4">
    <w:nsid w:val="3DEEB559"/>
    <w:multiLevelType w:val="singleLevel"/>
    <w:tmpl w:val="3DEEB559"/>
    <w:lvl w:ilvl="0" w:tentative="0">
      <w:start w:val="1"/>
      <w:numFmt w:val="decimal"/>
      <w:suff w:val="nothing"/>
      <w:lvlText w:val="%1、"/>
      <w:lvlJc w:val="left"/>
    </w:lvl>
  </w:abstractNum>
  <w:abstractNum w:abstractNumId="5">
    <w:nsid w:val="449664B2"/>
    <w:multiLevelType w:val="multilevel"/>
    <w:tmpl w:val="449664B2"/>
    <w:lvl w:ilvl="0" w:tentative="0">
      <w:start w:val="1"/>
      <w:numFmt w:val="chineseCountingThousand"/>
      <w:pStyle w:val="32"/>
      <w:suff w:val="space"/>
      <w:lvlText w:val="第%1章"/>
      <w:lvlJc w:val="left"/>
      <w:pPr>
        <w:ind w:left="0" w:firstLine="0"/>
      </w:pPr>
      <w:rPr>
        <w:rFonts w:hint="default" w:ascii="Times New Roman" w:hAnsi="Times New Roman" w:eastAsia="黑体"/>
        <w:b/>
        <w:i w:val="0"/>
        <w:sz w:val="32"/>
      </w:rPr>
    </w:lvl>
    <w:lvl w:ilvl="1" w:tentative="0">
      <w:start w:val="1"/>
      <w:numFmt w:val="decimal"/>
      <w:isLgl/>
      <w:suff w:val="space"/>
      <w:lvlText w:val="%1.%2"/>
      <w:lvlJc w:val="left"/>
      <w:pPr>
        <w:ind w:left="0" w:firstLine="0"/>
      </w:pPr>
      <w:rPr>
        <w:rFonts w:hint="default" w:ascii="Times New Roman" w:hAnsi="Times New Roman" w:cs="Times New Roman"/>
        <w:sz w:val="28"/>
      </w:rPr>
    </w:lvl>
    <w:lvl w:ilvl="2" w:tentative="0">
      <w:start w:val="1"/>
      <w:numFmt w:val="decimal"/>
      <w:isLgl/>
      <w:suff w:val="space"/>
      <w:lvlText w:val="%1.%2.%3"/>
      <w:lvlJc w:val="left"/>
      <w:pPr>
        <w:ind w:left="0" w:firstLine="0"/>
      </w:pPr>
      <w:rPr>
        <w:rFonts w:hint="default" w:ascii="Times New Roman" w:hAnsi="Times New Roman" w:eastAsia="黑体"/>
        <w:sz w:val="24"/>
      </w:rPr>
    </w:lvl>
    <w:lvl w:ilvl="3" w:tentative="0">
      <w:start w:val="1"/>
      <w:numFmt w:val="decimal"/>
      <w:isLgl/>
      <w:suff w:val="space"/>
      <w:lvlText w:val="%1.%2.%3.%4"/>
      <w:lvlJc w:val="left"/>
      <w:pPr>
        <w:ind w:left="0" w:firstLine="0"/>
      </w:pPr>
      <w:rPr>
        <w:rFonts w:hint="default" w:ascii="Times New Roman" w:hAnsi="Times New Roman" w:eastAsia="黑体"/>
        <w:sz w:val="24"/>
      </w:rPr>
    </w:lvl>
    <w:lvl w:ilvl="4" w:tentative="0">
      <w:start w:val="1"/>
      <w:numFmt w:val="decimal"/>
      <w:isLgl/>
      <w:suff w:val="space"/>
      <w:lvlText w:val="%1.%2.%3.%4.%5"/>
      <w:lvlJc w:val="left"/>
      <w:pPr>
        <w:ind w:left="0" w:firstLine="0"/>
      </w:pPr>
      <w:rPr>
        <w:rFonts w:hint="default" w:ascii="Times New Roman" w:hAnsi="Times New Roman" w:eastAsia="宋体"/>
        <w:b w:val="0"/>
        <w:i w:val="0"/>
        <w:sz w:val="24"/>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wNDgxN2MyZGQxMWZlOWEwNjNmNWY4NTkwMjg5NjgifQ=="/>
  </w:docVars>
  <w:rsids>
    <w:rsidRoot w:val="00D67FAC"/>
    <w:rsid w:val="00003119"/>
    <w:rsid w:val="00021E12"/>
    <w:rsid w:val="00046A21"/>
    <w:rsid w:val="000565A6"/>
    <w:rsid w:val="000918D8"/>
    <w:rsid w:val="0009294F"/>
    <w:rsid w:val="000D33F9"/>
    <w:rsid w:val="000D5EFD"/>
    <w:rsid w:val="000F2D3A"/>
    <w:rsid w:val="000F67EF"/>
    <w:rsid w:val="00102CF8"/>
    <w:rsid w:val="00122E11"/>
    <w:rsid w:val="001454C2"/>
    <w:rsid w:val="00164B03"/>
    <w:rsid w:val="00192D51"/>
    <w:rsid w:val="001A1B31"/>
    <w:rsid w:val="001A2B04"/>
    <w:rsid w:val="001A2FAB"/>
    <w:rsid w:val="001A30FF"/>
    <w:rsid w:val="001A3D94"/>
    <w:rsid w:val="001B4025"/>
    <w:rsid w:val="00201953"/>
    <w:rsid w:val="00201AC6"/>
    <w:rsid w:val="0022242C"/>
    <w:rsid w:val="002233BD"/>
    <w:rsid w:val="0022445E"/>
    <w:rsid w:val="00245AF8"/>
    <w:rsid w:val="00264B20"/>
    <w:rsid w:val="002714DB"/>
    <w:rsid w:val="0027199D"/>
    <w:rsid w:val="00271F48"/>
    <w:rsid w:val="00285FA4"/>
    <w:rsid w:val="002B2C33"/>
    <w:rsid w:val="002C6D6C"/>
    <w:rsid w:val="002E0BB1"/>
    <w:rsid w:val="002E18A3"/>
    <w:rsid w:val="002E2F50"/>
    <w:rsid w:val="002E6044"/>
    <w:rsid w:val="00350E52"/>
    <w:rsid w:val="003524F1"/>
    <w:rsid w:val="003578E6"/>
    <w:rsid w:val="00375A16"/>
    <w:rsid w:val="003930B0"/>
    <w:rsid w:val="003D53E2"/>
    <w:rsid w:val="003E032A"/>
    <w:rsid w:val="003F51B3"/>
    <w:rsid w:val="0041372B"/>
    <w:rsid w:val="00414654"/>
    <w:rsid w:val="00415B9A"/>
    <w:rsid w:val="004300D2"/>
    <w:rsid w:val="004346BA"/>
    <w:rsid w:val="00440F6B"/>
    <w:rsid w:val="00441FBC"/>
    <w:rsid w:val="00443998"/>
    <w:rsid w:val="0045183B"/>
    <w:rsid w:val="00453518"/>
    <w:rsid w:val="00457597"/>
    <w:rsid w:val="004612DE"/>
    <w:rsid w:val="004C3389"/>
    <w:rsid w:val="004E50F9"/>
    <w:rsid w:val="004F5CDC"/>
    <w:rsid w:val="00521F58"/>
    <w:rsid w:val="0052608C"/>
    <w:rsid w:val="005313F2"/>
    <w:rsid w:val="00573940"/>
    <w:rsid w:val="00576A94"/>
    <w:rsid w:val="00585497"/>
    <w:rsid w:val="00593D40"/>
    <w:rsid w:val="005961B3"/>
    <w:rsid w:val="005A6509"/>
    <w:rsid w:val="005B0A1E"/>
    <w:rsid w:val="005B790D"/>
    <w:rsid w:val="005C3252"/>
    <w:rsid w:val="005E5177"/>
    <w:rsid w:val="00612624"/>
    <w:rsid w:val="00613F88"/>
    <w:rsid w:val="0062252D"/>
    <w:rsid w:val="00625FDE"/>
    <w:rsid w:val="00634743"/>
    <w:rsid w:val="006426F1"/>
    <w:rsid w:val="00644919"/>
    <w:rsid w:val="00650FEE"/>
    <w:rsid w:val="00654F2C"/>
    <w:rsid w:val="00656060"/>
    <w:rsid w:val="00657569"/>
    <w:rsid w:val="00662DD1"/>
    <w:rsid w:val="006744F4"/>
    <w:rsid w:val="00693430"/>
    <w:rsid w:val="006C723D"/>
    <w:rsid w:val="006D4096"/>
    <w:rsid w:val="007068DC"/>
    <w:rsid w:val="007203E7"/>
    <w:rsid w:val="00731190"/>
    <w:rsid w:val="007354E1"/>
    <w:rsid w:val="00745220"/>
    <w:rsid w:val="00747424"/>
    <w:rsid w:val="007669A5"/>
    <w:rsid w:val="00774264"/>
    <w:rsid w:val="007946EE"/>
    <w:rsid w:val="007A731B"/>
    <w:rsid w:val="007B0268"/>
    <w:rsid w:val="007B428F"/>
    <w:rsid w:val="007C1B60"/>
    <w:rsid w:val="007E10C3"/>
    <w:rsid w:val="007F79DF"/>
    <w:rsid w:val="0080411A"/>
    <w:rsid w:val="008107BD"/>
    <w:rsid w:val="00814163"/>
    <w:rsid w:val="008203E2"/>
    <w:rsid w:val="00827D8A"/>
    <w:rsid w:val="00836E17"/>
    <w:rsid w:val="008402BD"/>
    <w:rsid w:val="0085137E"/>
    <w:rsid w:val="008647B0"/>
    <w:rsid w:val="008734FC"/>
    <w:rsid w:val="008767D1"/>
    <w:rsid w:val="008856B2"/>
    <w:rsid w:val="008A5BA3"/>
    <w:rsid w:val="008B27D9"/>
    <w:rsid w:val="008B43E7"/>
    <w:rsid w:val="008C788B"/>
    <w:rsid w:val="008D03B9"/>
    <w:rsid w:val="008F152D"/>
    <w:rsid w:val="008F7A0A"/>
    <w:rsid w:val="00913711"/>
    <w:rsid w:val="00953FF8"/>
    <w:rsid w:val="0095525E"/>
    <w:rsid w:val="00963E7D"/>
    <w:rsid w:val="00970F4F"/>
    <w:rsid w:val="0097796D"/>
    <w:rsid w:val="00992DBF"/>
    <w:rsid w:val="009965C7"/>
    <w:rsid w:val="009C6EE3"/>
    <w:rsid w:val="009D0E57"/>
    <w:rsid w:val="009E0DBB"/>
    <w:rsid w:val="009E408F"/>
    <w:rsid w:val="009F0664"/>
    <w:rsid w:val="00A11C02"/>
    <w:rsid w:val="00A201CF"/>
    <w:rsid w:val="00A31F00"/>
    <w:rsid w:val="00A34F5A"/>
    <w:rsid w:val="00A4510D"/>
    <w:rsid w:val="00A526C5"/>
    <w:rsid w:val="00A81247"/>
    <w:rsid w:val="00A817F6"/>
    <w:rsid w:val="00AA28FD"/>
    <w:rsid w:val="00AA6765"/>
    <w:rsid w:val="00AB7704"/>
    <w:rsid w:val="00AC195A"/>
    <w:rsid w:val="00AD2D97"/>
    <w:rsid w:val="00AD76E5"/>
    <w:rsid w:val="00AE450C"/>
    <w:rsid w:val="00AE5D4B"/>
    <w:rsid w:val="00B0439A"/>
    <w:rsid w:val="00B155C5"/>
    <w:rsid w:val="00B16332"/>
    <w:rsid w:val="00B25375"/>
    <w:rsid w:val="00B52A9E"/>
    <w:rsid w:val="00B52C9C"/>
    <w:rsid w:val="00B827FD"/>
    <w:rsid w:val="00BA03BD"/>
    <w:rsid w:val="00BA6BD2"/>
    <w:rsid w:val="00BD7C4B"/>
    <w:rsid w:val="00BE1693"/>
    <w:rsid w:val="00BF2657"/>
    <w:rsid w:val="00C0300F"/>
    <w:rsid w:val="00C127C9"/>
    <w:rsid w:val="00C229F9"/>
    <w:rsid w:val="00C31E1F"/>
    <w:rsid w:val="00C40014"/>
    <w:rsid w:val="00C42675"/>
    <w:rsid w:val="00C54C73"/>
    <w:rsid w:val="00C5634E"/>
    <w:rsid w:val="00C6499D"/>
    <w:rsid w:val="00C86843"/>
    <w:rsid w:val="00C93DF9"/>
    <w:rsid w:val="00C93F4C"/>
    <w:rsid w:val="00C96E71"/>
    <w:rsid w:val="00CD05A6"/>
    <w:rsid w:val="00CD3D41"/>
    <w:rsid w:val="00CE3038"/>
    <w:rsid w:val="00CF58CA"/>
    <w:rsid w:val="00D0156D"/>
    <w:rsid w:val="00D01F8D"/>
    <w:rsid w:val="00D11499"/>
    <w:rsid w:val="00D41797"/>
    <w:rsid w:val="00D45C97"/>
    <w:rsid w:val="00D526EE"/>
    <w:rsid w:val="00D52E77"/>
    <w:rsid w:val="00D5507A"/>
    <w:rsid w:val="00D559D4"/>
    <w:rsid w:val="00D60F63"/>
    <w:rsid w:val="00D62545"/>
    <w:rsid w:val="00D63276"/>
    <w:rsid w:val="00D67FAC"/>
    <w:rsid w:val="00D83EB7"/>
    <w:rsid w:val="00D925A6"/>
    <w:rsid w:val="00D96616"/>
    <w:rsid w:val="00DA1BF8"/>
    <w:rsid w:val="00DD43F8"/>
    <w:rsid w:val="00DE1407"/>
    <w:rsid w:val="00E101D2"/>
    <w:rsid w:val="00E14234"/>
    <w:rsid w:val="00E2436C"/>
    <w:rsid w:val="00E367CF"/>
    <w:rsid w:val="00E37F8E"/>
    <w:rsid w:val="00E43D76"/>
    <w:rsid w:val="00E45AB8"/>
    <w:rsid w:val="00E46A83"/>
    <w:rsid w:val="00E64103"/>
    <w:rsid w:val="00E67891"/>
    <w:rsid w:val="00E728F4"/>
    <w:rsid w:val="00E853DF"/>
    <w:rsid w:val="00E91D0F"/>
    <w:rsid w:val="00EA5AE3"/>
    <w:rsid w:val="00EB75A6"/>
    <w:rsid w:val="00EC10D9"/>
    <w:rsid w:val="00EE229F"/>
    <w:rsid w:val="00EF0827"/>
    <w:rsid w:val="00F02A82"/>
    <w:rsid w:val="00F04A08"/>
    <w:rsid w:val="00F5068E"/>
    <w:rsid w:val="00F561E8"/>
    <w:rsid w:val="00F63A3D"/>
    <w:rsid w:val="00F91B93"/>
    <w:rsid w:val="00FA2FAD"/>
    <w:rsid w:val="00FA75B9"/>
    <w:rsid w:val="00FB44F3"/>
    <w:rsid w:val="00FE7E87"/>
    <w:rsid w:val="01050944"/>
    <w:rsid w:val="010B1502"/>
    <w:rsid w:val="017E2739"/>
    <w:rsid w:val="0AFE53BA"/>
    <w:rsid w:val="0C9B1D93"/>
    <w:rsid w:val="0CBB102F"/>
    <w:rsid w:val="0EF56F8E"/>
    <w:rsid w:val="1D746880"/>
    <w:rsid w:val="20700ABB"/>
    <w:rsid w:val="23AC3027"/>
    <w:rsid w:val="23CF7082"/>
    <w:rsid w:val="27817E07"/>
    <w:rsid w:val="28BF71F2"/>
    <w:rsid w:val="2CF75313"/>
    <w:rsid w:val="347C6618"/>
    <w:rsid w:val="37310572"/>
    <w:rsid w:val="45887337"/>
    <w:rsid w:val="46EB3F0D"/>
    <w:rsid w:val="4B851AD0"/>
    <w:rsid w:val="4DDB31F5"/>
    <w:rsid w:val="4ED71D60"/>
    <w:rsid w:val="52666B28"/>
    <w:rsid w:val="5664268A"/>
    <w:rsid w:val="56F83407"/>
    <w:rsid w:val="5AAE2166"/>
    <w:rsid w:val="5D5B6EE1"/>
    <w:rsid w:val="632F43F6"/>
    <w:rsid w:val="6C8C7011"/>
    <w:rsid w:val="6CE812ED"/>
    <w:rsid w:val="70497D89"/>
    <w:rsid w:val="7AE00CFB"/>
    <w:rsid w:val="7C0F7CC8"/>
    <w:rsid w:val="7CE00428"/>
    <w:rsid w:val="7F1F7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after="260" w:line="415" w:lineRule="auto"/>
      <w:outlineLvl w:val="1"/>
    </w:pPr>
    <w:rPr>
      <w:rFonts w:eastAsia="仿宋" w:asciiTheme="majorAscii" w:hAnsiTheme="majorAscii" w:cstheme="majorBidi"/>
      <w:b/>
      <w:sz w:val="32"/>
    </w:rPr>
  </w:style>
  <w:style w:type="paragraph" w:styleId="4">
    <w:name w:val="heading 3"/>
    <w:basedOn w:val="1"/>
    <w:next w:val="1"/>
    <w:semiHidden/>
    <w:unhideWhenUsed/>
    <w:qFormat/>
    <w:uiPriority w:val="9"/>
    <w:pPr>
      <w:keepNext/>
      <w:keepLines/>
      <w:spacing w:before="260" w:after="260" w:line="415" w:lineRule="auto"/>
      <w:outlineLvl w:val="2"/>
    </w:pPr>
    <w:rPr>
      <w:b/>
      <w:sz w:val="32"/>
    </w:rPr>
  </w:style>
  <w:style w:type="paragraph" w:styleId="5">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sz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qFormat/>
    <w:uiPriority w:val="0"/>
    <w:rPr>
      <w:rFonts w:ascii="Calibri" w:hAnsi="Calibri" w:eastAsia="宋体" w:cs="Calibri"/>
    </w:rPr>
  </w:style>
  <w:style w:type="paragraph" w:styleId="8">
    <w:name w:val="Body Text"/>
    <w:basedOn w:val="1"/>
    <w:next w:val="1"/>
    <w:qFormat/>
    <w:uiPriority w:val="0"/>
    <w:pPr>
      <w:ind w:left="637"/>
    </w:pPr>
    <w:rPr>
      <w:rFonts w:ascii="宋体" w:hAnsi="宋体" w:eastAsia="宋体" w:cs="宋体"/>
      <w:kern w:val="0"/>
    </w:rPr>
  </w:style>
  <w:style w:type="paragraph" w:styleId="9">
    <w:name w:val="footer"/>
    <w:basedOn w:val="1"/>
    <w:qFormat/>
    <w:uiPriority w:val="0"/>
    <w:rPr>
      <w:sz w:val="18"/>
    </w:rPr>
  </w:style>
  <w:style w:type="paragraph" w:styleId="10">
    <w:name w:val="header"/>
    <w:basedOn w:val="1"/>
    <w:qFormat/>
    <w:uiPriority w:val="0"/>
    <w:pPr>
      <w:pBdr>
        <w:bottom w:val="single" w:color="000000" w:sz="6" w:space="1"/>
      </w:pBdr>
      <w:jc w:val="center"/>
    </w:pPr>
    <w:rPr>
      <w:sz w:val="18"/>
    </w:rPr>
  </w:style>
  <w:style w:type="paragraph" w:styleId="11">
    <w:name w:val="Title"/>
    <w:basedOn w:val="1"/>
    <w:next w:val="1"/>
    <w:link w:val="34"/>
    <w:qFormat/>
    <w:uiPriority w:val="10"/>
    <w:pPr>
      <w:spacing w:before="240" w:after="60"/>
      <w:jc w:val="center"/>
      <w:outlineLvl w:val="0"/>
    </w:pPr>
    <w:rPr>
      <w:rFonts w:asciiTheme="majorHAnsi" w:hAnsiTheme="majorHAnsi" w:eastAsiaTheme="majorEastAsia" w:cstheme="majorBidi"/>
      <w:b/>
      <w:bCs/>
      <w:sz w:val="32"/>
      <w:szCs w:val="32"/>
    </w:rPr>
  </w:style>
  <w:style w:type="paragraph" w:styleId="12">
    <w:name w:val="Body Text First Indent"/>
    <w:basedOn w:val="8"/>
    <w:qFormat/>
    <w:uiPriority w:val="0"/>
    <w:pPr>
      <w:ind w:firstLine="420" w:firstLineChars="100"/>
    </w:pPr>
  </w:style>
  <w:style w:type="table" w:styleId="14">
    <w:name w:val="Table Grid"/>
    <w:basedOn w:val="13"/>
    <w:autoRedefine/>
    <w:qFormat/>
    <w:uiPriority w:val="0"/>
    <w:pPr>
      <w:widowControl w:val="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Strong"/>
    <w:basedOn w:val="15"/>
    <w:qFormat/>
    <w:uiPriority w:val="0"/>
    <w:rPr>
      <w:b/>
    </w:rPr>
  </w:style>
  <w:style w:type="character" w:styleId="17">
    <w:name w:val="annotation reference"/>
    <w:qFormat/>
    <w:uiPriority w:val="0"/>
    <w:rPr>
      <w:sz w:val="21"/>
    </w:rPr>
  </w:style>
  <w:style w:type="character" w:customStyle="1" w:styleId="18">
    <w:name w:val="标题 3 字符"/>
    <w:basedOn w:val="15"/>
    <w:autoRedefine/>
    <w:qFormat/>
    <w:uiPriority w:val="0"/>
    <w:rPr>
      <w:b/>
      <w:kern w:val="2"/>
      <w:sz w:val="32"/>
    </w:rPr>
  </w:style>
  <w:style w:type="character" w:customStyle="1" w:styleId="19">
    <w:name w:val="标题 4 字符"/>
    <w:basedOn w:val="15"/>
    <w:autoRedefine/>
    <w:qFormat/>
    <w:uiPriority w:val="0"/>
    <w:rPr>
      <w:rFonts w:asciiTheme="majorHAnsi" w:hAnsiTheme="majorHAnsi" w:eastAsiaTheme="majorEastAsia" w:cstheme="majorBidi"/>
      <w:b/>
      <w:kern w:val="2"/>
      <w:sz w:val="28"/>
    </w:rPr>
  </w:style>
  <w:style w:type="character" w:customStyle="1" w:styleId="20">
    <w:name w:val="正文文本 字符"/>
    <w:basedOn w:val="15"/>
    <w:qFormat/>
    <w:uiPriority w:val="0"/>
    <w:rPr>
      <w:rFonts w:ascii="宋体" w:hAnsi="宋体" w:eastAsia="宋体" w:cs="宋体"/>
      <w:sz w:val="21"/>
    </w:rPr>
  </w:style>
  <w:style w:type="paragraph" w:customStyle="1" w:styleId="21">
    <w:name w:val="正文缩进_0"/>
    <w:basedOn w:val="22"/>
    <w:autoRedefine/>
    <w:qFormat/>
    <w:uiPriority w:val="0"/>
    <w:pPr>
      <w:ind w:firstLine="420"/>
    </w:pPr>
    <w:rPr>
      <w:rFonts w:ascii="Times New Roman" w:hAnsi="Times New Roman"/>
      <w:kern w:val="0"/>
    </w:rPr>
  </w:style>
  <w:style w:type="paragraph" w:customStyle="1" w:styleId="22">
    <w:name w:val="正文_1"/>
    <w:autoRedefine/>
    <w:qFormat/>
    <w:uiPriority w:val="0"/>
    <w:pPr>
      <w:widowControl w:val="0"/>
    </w:pPr>
    <w:rPr>
      <w:rFonts w:ascii="Calibri" w:hAnsi="Calibri" w:eastAsiaTheme="minorEastAsia" w:cstheme="minorBidi"/>
      <w:kern w:val="2"/>
      <w:sz w:val="21"/>
      <w:lang w:val="en-US" w:eastAsia="zh-CN" w:bidi="ar-SA"/>
    </w:rPr>
  </w:style>
  <w:style w:type="character" w:customStyle="1" w:styleId="23">
    <w:name w:val="批注文字 字符1"/>
    <w:autoRedefine/>
    <w:qFormat/>
    <w:uiPriority w:val="0"/>
    <w:rPr>
      <w:rFonts w:ascii="Calibri" w:hAnsi="Calibri" w:eastAsia="宋体" w:cs="Calibri"/>
      <w:kern w:val="2"/>
      <w:sz w:val="21"/>
    </w:rPr>
  </w:style>
  <w:style w:type="paragraph" w:customStyle="1" w:styleId="24">
    <w:name w:val="列出段落1"/>
    <w:basedOn w:val="1"/>
    <w:autoRedefine/>
    <w:qFormat/>
    <w:uiPriority w:val="0"/>
    <w:pPr>
      <w:ind w:firstLine="420" w:firstLineChars="200"/>
    </w:pPr>
    <w:rPr>
      <w:rFonts w:ascii="Times New Roman" w:hAnsi="Times New Roman" w:eastAsia="宋体" w:cs="Times New Roman"/>
    </w:rPr>
  </w:style>
  <w:style w:type="character" w:customStyle="1" w:styleId="25">
    <w:name w:val="正文缩进 Char_0"/>
    <w:autoRedefine/>
    <w:qFormat/>
    <w:uiPriority w:val="0"/>
    <w:rPr>
      <w:rFonts w:ascii="Times New Roman" w:hAnsi="Times New Roman" w:eastAsia="宋体" w:cs="Times New Roman"/>
      <w:sz w:val="21"/>
    </w:rPr>
  </w:style>
  <w:style w:type="character" w:customStyle="1" w:styleId="26">
    <w:name w:val="页脚 字符"/>
    <w:basedOn w:val="15"/>
    <w:qFormat/>
    <w:uiPriority w:val="0"/>
    <w:rPr>
      <w:kern w:val="2"/>
      <w:sz w:val="18"/>
    </w:rPr>
  </w:style>
  <w:style w:type="character" w:customStyle="1" w:styleId="27">
    <w:name w:val="页眉 字符"/>
    <w:basedOn w:val="15"/>
    <w:autoRedefine/>
    <w:qFormat/>
    <w:uiPriority w:val="0"/>
    <w:rPr>
      <w:kern w:val="2"/>
      <w:sz w:val="18"/>
    </w:rPr>
  </w:style>
  <w:style w:type="paragraph" w:styleId="28">
    <w:name w:val="List Paragraph"/>
    <w:basedOn w:val="1"/>
    <w:qFormat/>
    <w:uiPriority w:val="0"/>
    <w:pPr>
      <w:ind w:firstLine="420" w:firstLineChars="200"/>
    </w:pPr>
  </w:style>
  <w:style w:type="character" w:customStyle="1" w:styleId="29">
    <w:name w:val="列表段落 字符"/>
    <w:autoRedefine/>
    <w:qFormat/>
    <w:uiPriority w:val="0"/>
    <w:rPr>
      <w:kern w:val="2"/>
      <w:sz w:val="21"/>
    </w:rPr>
  </w:style>
  <w:style w:type="character" w:customStyle="1" w:styleId="30">
    <w:name w:val="批注文字 字符"/>
    <w:basedOn w:val="15"/>
    <w:autoRedefine/>
    <w:qFormat/>
    <w:uiPriority w:val="0"/>
    <w:rPr>
      <w:kern w:val="2"/>
      <w:sz w:val="21"/>
    </w:rPr>
  </w:style>
  <w:style w:type="paragraph" w:customStyle="1" w:styleId="31">
    <w:name w:val="监测指标、参考指标"/>
    <w:basedOn w:val="1"/>
    <w:qFormat/>
    <w:uiPriority w:val="0"/>
    <w:pPr>
      <w:outlineLvl w:val="1"/>
    </w:pPr>
    <w:rPr>
      <w:rFonts w:eastAsia="仿宋_GB2312"/>
      <w:b/>
      <w:sz w:val="28"/>
      <w:szCs w:val="28"/>
    </w:rPr>
  </w:style>
  <w:style w:type="paragraph" w:customStyle="1" w:styleId="32">
    <w:name w:val="各章标题（方案）"/>
    <w:basedOn w:val="11"/>
    <w:next w:val="1"/>
    <w:link w:val="33"/>
    <w:autoRedefine/>
    <w:qFormat/>
    <w:uiPriority w:val="0"/>
    <w:pPr>
      <w:numPr>
        <w:ilvl w:val="0"/>
        <w:numId w:val="1"/>
      </w:numPr>
      <w:spacing w:before="480" w:after="360"/>
    </w:pPr>
    <w:rPr>
      <w:rFonts w:ascii="黑体" w:hAnsi="黑体" w:eastAsia="黑体"/>
    </w:rPr>
  </w:style>
  <w:style w:type="character" w:customStyle="1" w:styleId="33">
    <w:name w:val="各章标题（方案） 字符"/>
    <w:basedOn w:val="34"/>
    <w:link w:val="32"/>
    <w:qFormat/>
    <w:uiPriority w:val="0"/>
    <w:rPr>
      <w:rFonts w:ascii="黑体" w:hAnsi="黑体" w:eastAsia="黑体" w:cstheme="majorBidi"/>
      <w:kern w:val="2"/>
      <w:sz w:val="32"/>
      <w:szCs w:val="32"/>
    </w:rPr>
  </w:style>
  <w:style w:type="character" w:customStyle="1" w:styleId="34">
    <w:name w:val="标题 字符"/>
    <w:basedOn w:val="15"/>
    <w:link w:val="11"/>
    <w:qFormat/>
    <w:uiPriority w:val="10"/>
    <w:rPr>
      <w:rFonts w:asciiTheme="majorHAnsi" w:hAnsiTheme="majorHAnsi" w:eastAsiaTheme="majorEastAsia" w:cstheme="majorBidi"/>
      <w:b/>
      <w:bCs/>
      <w:kern w:val="2"/>
      <w:sz w:val="32"/>
      <w:szCs w:val="32"/>
    </w:rPr>
  </w:style>
  <w:style w:type="paragraph" w:customStyle="1" w:styleId="35">
    <w:name w:val="Revision"/>
    <w:hidden/>
    <w:unhideWhenUsed/>
    <w:qFormat/>
    <w:uiPriority w:val="99"/>
    <w:rPr>
      <w:rFonts w:asciiTheme="minorHAnsi" w:hAnsiTheme="minorHAnsi" w:eastAsiaTheme="minorEastAsia" w:cstheme="minorBidi"/>
      <w:kern w:val="2"/>
      <w:sz w:val="21"/>
      <w:lang w:val="en-US" w:eastAsia="zh-CN" w:bidi="ar-SA"/>
    </w:rPr>
  </w:style>
  <w:style w:type="character" w:customStyle="1" w:styleId="36">
    <w:name w:val="font51"/>
    <w:basedOn w:val="15"/>
    <w:qFormat/>
    <w:uiPriority w:val="0"/>
    <w:rPr>
      <w:rFonts w:hint="eastAsia" w:ascii="微软雅黑" w:hAnsi="微软雅黑" w:eastAsia="微软雅黑" w:cs="微软雅黑"/>
      <w:color w:val="000000"/>
      <w:sz w:val="21"/>
      <w:szCs w:val="21"/>
      <w:u w:val="none"/>
    </w:rPr>
  </w:style>
  <w:style w:type="paragraph" w:customStyle="1" w:styleId="37">
    <w:name w:val="Default"/>
    <w:unhideWhenUsed/>
    <w:qFormat/>
    <w:uiPriority w:val="99"/>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3564</Words>
  <Characters>3734</Characters>
  <Lines>1</Lines>
  <Paragraphs>1</Paragraphs>
  <TotalTime>99</TotalTime>
  <ScaleCrop>false</ScaleCrop>
  <LinksUpToDate>false</LinksUpToDate>
  <CharactersWithSpaces>3826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2023-05-31T00:58:00Z</dcterms:created>
  <dc:creator>DingTalk</dc:creator>
  <dc:description>DingTalk Document</dc:description>
  <cp:lastModifiedBy>感恩的心</cp:lastModifiedBy>
  <dcterms:modified xsi:type="dcterms:W3CDTF">2026-08-11T03:08:08Z</dcterms:modified>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0B75B2D4A7864FE6AFE867B341B9C42A_13</vt:lpwstr>
  </property>
  <property fmtid="{D5CDD505-2E9C-101B-9397-08002B2CF9AE}" pid="4" name="KSOTemplateDocerSaveRecord">
    <vt:lpwstr>eyJoZGlkIjoiMzAzNzE3MzdkNGU0OWE4MTI2ZWY3MDcwZWQwNjkxMWUiLCJ1c2VySWQiOiI5ODIwMDQ0NDAifQ==</vt:lpwstr>
  </property>
</Properties>
</file>