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95417">
      <w:pPr>
        <w:autoSpaceDE w:val="0"/>
        <w:autoSpaceDN w:val="0"/>
        <w:spacing w:after="156" w:afterLines="50" w:line="480" w:lineRule="auto"/>
        <w:jc w:val="center"/>
        <w:rPr>
          <w:rFonts w:hint="eastAsia" w:ascii="黑体" w:hAnsi="黑体" w:eastAsia="黑体" w:cs="黑体"/>
          <w:b/>
          <w:bCs/>
          <w:kern w:val="0"/>
          <w:sz w:val="44"/>
          <w:szCs w:val="44"/>
        </w:rPr>
      </w:pPr>
      <w:r>
        <w:rPr>
          <w:rFonts w:hint="eastAsia" w:ascii="黑体" w:hAnsi="黑体" w:eastAsia="黑体" w:cs="黑体"/>
          <w:b/>
          <w:bCs/>
          <w:kern w:val="0"/>
          <w:sz w:val="44"/>
          <w:szCs w:val="44"/>
        </w:rPr>
        <w:t>信息化项目</w:t>
      </w:r>
      <w:bookmarkStart w:id="0" w:name="_GoBack"/>
      <w:bookmarkEnd w:id="0"/>
      <w:r>
        <w:rPr>
          <w:rFonts w:hint="eastAsia" w:ascii="黑体" w:hAnsi="黑体" w:eastAsia="黑体" w:cs="黑体"/>
          <w:b/>
          <w:bCs/>
          <w:kern w:val="0"/>
          <w:sz w:val="44"/>
          <w:szCs w:val="44"/>
        </w:rPr>
        <w:t>用户需求书</w:t>
      </w:r>
    </w:p>
    <w:p w14:paraId="4CCBE0D4">
      <w:pPr>
        <w:pStyle w:val="12"/>
        <w:ind w:firstLine="210"/>
        <w:rPr>
          <w:rFonts w:hint="eastAsia"/>
        </w:rPr>
      </w:pPr>
    </w:p>
    <w:p w14:paraId="447D0333">
      <w:pPr>
        <w:pStyle w:val="32"/>
        <w:rPr>
          <w:rFonts w:hint="eastAsia"/>
        </w:rPr>
      </w:pPr>
      <w:r>
        <w:rPr>
          <w:rFonts w:hint="eastAsia"/>
        </w:rPr>
        <w:t>项目背景</w:t>
      </w:r>
    </w:p>
    <w:p w14:paraId="58DD32BB">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南方科技大学医院改扩建工程信息化项目</w:t>
      </w:r>
      <w:r>
        <w:rPr>
          <w:rFonts w:hint="eastAsia" w:ascii="仿宋" w:hAnsi="仿宋" w:eastAsia="仿宋" w:cs="仿宋"/>
          <w:sz w:val="28"/>
          <w:szCs w:val="28"/>
        </w:rPr>
        <w:t>是医院改扩建工程配套的信息化项目，</w:t>
      </w:r>
      <w:r>
        <w:rPr>
          <w:rFonts w:hint="eastAsia" w:ascii="仿宋" w:hAnsi="仿宋" w:eastAsia="仿宋" w:cs="仿宋"/>
          <w:sz w:val="28"/>
          <w:szCs w:val="28"/>
          <w:lang w:val="en-US" w:eastAsia="zh-CN"/>
        </w:rPr>
        <w:t>是</w:t>
      </w:r>
      <w:r>
        <w:rPr>
          <w:rFonts w:hint="eastAsia" w:ascii="仿宋" w:hAnsi="仿宋" w:eastAsia="仿宋" w:cs="仿宋"/>
          <w:sz w:val="28"/>
          <w:szCs w:val="28"/>
        </w:rPr>
        <w:t>医院改扩建工程顺利启用的必备条件。配套信息化项目基于医院改扩建工程的整体建设要求和总体建设目标，从医院发展定位的实际需求出发，结合医院信息化建设的实践经验，提出</w:t>
      </w:r>
      <w:r>
        <w:rPr>
          <w:rFonts w:hint="eastAsia" w:ascii="仿宋" w:hAnsi="仿宋" w:eastAsia="仿宋" w:cs="仿宋"/>
          <w:sz w:val="28"/>
          <w:szCs w:val="28"/>
          <w:lang w:eastAsia="zh-CN"/>
        </w:rPr>
        <w:t>南方科技大学医院改扩建工程信息化项目</w:t>
      </w:r>
      <w:r>
        <w:rPr>
          <w:rFonts w:hint="eastAsia" w:ascii="仿宋" w:hAnsi="仿宋" w:eastAsia="仿宋" w:cs="仿宋"/>
          <w:sz w:val="28"/>
          <w:szCs w:val="28"/>
        </w:rPr>
        <w:t>建设。</w:t>
      </w:r>
    </w:p>
    <w:p w14:paraId="0AF0A1BC">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项目获得南山区委、区政府的支持，是深圳市南山区卫生事业发展“十三五”规划的重点工程。2016年，列入《南山区发展和改革局关于下达2016年政府投资项目计划》。2020年6月15日，区委召开有关医院建设项目方案汇报会议，会议原则同意南方科技大学医院（南科大医院）改扩建项目。现拟对批复中所涉及的信息化建设项目开展系统性、专业化的第三方测评工作，以确保项目质量、性能及合规性符合国家、行业与地方标准，为项目验收提供可靠、合规保障。</w:t>
      </w:r>
    </w:p>
    <w:p w14:paraId="4C79537B">
      <w:pPr>
        <w:rPr>
          <w:rFonts w:hint="eastAsia" w:ascii="仿宋" w:hAnsi="仿宋" w:eastAsia="仿宋" w:cs="仿宋"/>
        </w:rPr>
      </w:pPr>
    </w:p>
    <w:p w14:paraId="658479A3">
      <w:pPr>
        <w:pStyle w:val="32"/>
        <w:rPr>
          <w:rFonts w:hint="eastAsia"/>
        </w:rPr>
      </w:pPr>
      <w:r>
        <w:rPr>
          <w:rFonts w:hint="eastAsia"/>
        </w:rPr>
        <w:t>项目建设清单</w:t>
      </w:r>
    </w:p>
    <w:p w14:paraId="60A1E6ED">
      <w:pPr>
        <w:spacing w:line="48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南方科技大学医院改扩建工程信息化项目第三方验收测评服务项目：1项</w:t>
      </w:r>
      <w:r>
        <w:rPr>
          <w:rFonts w:hint="eastAsia" w:ascii="仿宋" w:hAnsi="仿宋" w:eastAsia="仿宋" w:cs="仿宋"/>
          <w:sz w:val="28"/>
          <w:szCs w:val="28"/>
          <w:lang w:eastAsia="zh-CN"/>
        </w:rPr>
        <w:t>。本次第三方验收测评服务范围对应医院改扩建工程信息化项目中的以下软硬件内容（以最终合同约定为准）：</w:t>
      </w:r>
    </w:p>
    <w:p w14:paraId="17A6EB5B">
      <w:pPr>
        <w:spacing w:line="480" w:lineRule="exact"/>
        <w:ind w:firstLine="560" w:firstLineChars="200"/>
        <w:rPr>
          <w:rFonts w:hint="eastAsia" w:ascii="仿宋" w:hAnsi="仿宋" w:eastAsia="仿宋" w:cs="仿宋"/>
          <w:sz w:val="28"/>
          <w:szCs w:val="28"/>
          <w:lang w:eastAsia="zh-CN"/>
        </w:rPr>
      </w:pPr>
    </w:p>
    <w:p w14:paraId="0B2CB8E3">
      <w:pPr>
        <w:spacing w:line="480" w:lineRule="exact"/>
        <w:ind w:firstLine="560" w:firstLineChars="200"/>
        <w:rPr>
          <w:rFonts w:hint="eastAsia" w:ascii="仿宋" w:hAnsi="仿宋" w:eastAsia="仿宋" w:cs="仿宋"/>
          <w:sz w:val="28"/>
          <w:szCs w:val="28"/>
          <w:lang w:eastAsia="zh-CN"/>
        </w:rPr>
      </w:pPr>
    </w:p>
    <w:p w14:paraId="27A99E7B">
      <w:pPr>
        <w:spacing w:line="480" w:lineRule="exact"/>
        <w:ind w:firstLine="560" w:firstLineChars="200"/>
        <w:rPr>
          <w:rFonts w:hint="eastAsia" w:ascii="仿宋" w:hAnsi="仿宋" w:eastAsia="仿宋" w:cs="仿宋"/>
          <w:sz w:val="28"/>
          <w:szCs w:val="28"/>
          <w:lang w:eastAsia="zh-CN"/>
        </w:rPr>
      </w:pPr>
    </w:p>
    <w:p w14:paraId="2FBAA1BD">
      <w:pPr>
        <w:spacing w:line="480" w:lineRule="exact"/>
        <w:ind w:firstLine="560" w:firstLineChars="200"/>
        <w:rPr>
          <w:rFonts w:hint="eastAsia" w:ascii="仿宋" w:hAnsi="仿宋" w:eastAsia="仿宋" w:cs="仿宋"/>
          <w:sz w:val="28"/>
          <w:szCs w:val="28"/>
          <w:lang w:eastAsia="zh-CN"/>
        </w:rPr>
      </w:pPr>
    </w:p>
    <w:p w14:paraId="33C0A6E6">
      <w:pPr>
        <w:spacing w:line="480" w:lineRule="exact"/>
        <w:ind w:firstLine="560" w:firstLineChars="200"/>
        <w:rPr>
          <w:rFonts w:hint="eastAsia" w:ascii="仿宋" w:hAnsi="仿宋" w:eastAsia="仿宋" w:cs="仿宋"/>
          <w:sz w:val="28"/>
          <w:szCs w:val="28"/>
          <w:lang w:eastAsia="zh-CN"/>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1365"/>
        <w:gridCol w:w="6255"/>
      </w:tblGrid>
      <w:tr w14:paraId="66AB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1C7D988D">
            <w:pPr>
              <w:spacing w:line="480" w:lineRule="exact"/>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365" w:type="dxa"/>
          </w:tcPr>
          <w:p w14:paraId="65D6836D">
            <w:pPr>
              <w:spacing w:line="480" w:lineRule="exact"/>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类别</w:t>
            </w:r>
          </w:p>
        </w:tc>
        <w:tc>
          <w:tcPr>
            <w:tcW w:w="6255" w:type="dxa"/>
          </w:tcPr>
          <w:p w14:paraId="467E7655">
            <w:pPr>
              <w:spacing w:line="480" w:lineRule="exact"/>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主要内容</w:t>
            </w:r>
          </w:p>
        </w:tc>
      </w:tr>
      <w:tr w14:paraId="0F39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6F9068D4">
            <w:pPr>
              <w:spacing w:line="480" w:lineRule="exact"/>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365" w:type="dxa"/>
            <w:vAlign w:val="center"/>
          </w:tcPr>
          <w:p w14:paraId="3721C18C">
            <w:pPr>
              <w:spacing w:line="480" w:lineRule="exact"/>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软件系统</w:t>
            </w:r>
          </w:p>
        </w:tc>
        <w:tc>
          <w:tcPr>
            <w:tcW w:w="6255" w:type="dxa"/>
          </w:tcPr>
          <w:p w14:paraId="7FFAFE02">
            <w:pPr>
              <w:spacing w:line="480" w:lineRule="exac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网络管理平台、信锐网科统一认证中心管理平台软件、多媒体综合管理系统、智慧门诊信息交互服务器软件、数据对接软件、医技排队管理软件、抽血排队管理软件、取药排队管理软件、出入院结算排队管理软件、定位导航服务软件、护理白板客户端软件、统一端点安全管理系统</w:t>
            </w:r>
          </w:p>
        </w:tc>
      </w:tr>
      <w:tr w14:paraId="7E7D6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75282A17">
            <w:pPr>
              <w:spacing w:line="480" w:lineRule="exact"/>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1365" w:type="dxa"/>
            <w:vAlign w:val="center"/>
          </w:tcPr>
          <w:p w14:paraId="1F7B8486">
            <w:pPr>
              <w:spacing w:line="480" w:lineRule="exact"/>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硬件设备</w:t>
            </w:r>
          </w:p>
        </w:tc>
        <w:tc>
          <w:tcPr>
            <w:tcW w:w="6255" w:type="dxa"/>
          </w:tcPr>
          <w:p w14:paraId="45EA83AE">
            <w:pPr>
              <w:spacing w:line="480" w:lineRule="exac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核心交换机、OLT、24口ONU、8口ONU、24口ONU-POE、8口ONU-POE、无线控制器、</w:t>
            </w:r>
            <w:r>
              <w:rPr>
                <w:rFonts w:hint="eastAsia" w:ascii="仿宋" w:hAnsi="仿宋" w:eastAsia="仿宋" w:cs="仿宋"/>
                <w:sz w:val="28"/>
                <w:szCs w:val="28"/>
                <w:vertAlign w:val="baseline"/>
                <w:lang w:val="en-US" w:eastAsia="zh-CN"/>
              </w:rPr>
              <w:t>无线AP、24口接入交换机、48口接入交换机、电梯厅宣教屏、会议一体机、候诊区队列叫号智慧屏、科室自助报到终端、功放、喇叭、蓝牙定位器、护理白板、移动护理工作站、移动医生工作站、外网出口防火墙、上网行为管理、网络流量探针、内外网隔离网关、内网准入网关、全局链路负载均衡、外网安全汇聚交换机、外网安全办公交换机、</w:t>
            </w:r>
          </w:p>
        </w:tc>
      </w:tr>
      <w:tr w14:paraId="39319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087E17DF">
            <w:pPr>
              <w:spacing w:line="480" w:lineRule="exact"/>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1365" w:type="dxa"/>
            <w:vAlign w:val="center"/>
          </w:tcPr>
          <w:p w14:paraId="7487AB35">
            <w:pPr>
              <w:spacing w:line="480" w:lineRule="exact"/>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基础设施</w:t>
            </w:r>
          </w:p>
        </w:tc>
        <w:tc>
          <w:tcPr>
            <w:tcW w:w="6255" w:type="dxa"/>
          </w:tcPr>
          <w:p w14:paraId="7FD0E732">
            <w:pPr>
              <w:spacing w:line="480" w:lineRule="exact"/>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数据中心机房（含UPS、精密空调、动环监控）、综合布线系统、院内网络（有线+无线）</w:t>
            </w:r>
          </w:p>
        </w:tc>
      </w:tr>
      <w:tr w14:paraId="47F1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4F3CE25C">
            <w:pPr>
              <w:spacing w:line="480" w:lineRule="exact"/>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w:t>
            </w:r>
          </w:p>
        </w:tc>
        <w:tc>
          <w:tcPr>
            <w:tcW w:w="1365" w:type="dxa"/>
            <w:vAlign w:val="center"/>
          </w:tcPr>
          <w:p w14:paraId="56C021BF">
            <w:pPr>
              <w:spacing w:line="480" w:lineRule="exact"/>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信息安全</w:t>
            </w:r>
          </w:p>
        </w:tc>
        <w:tc>
          <w:tcPr>
            <w:tcW w:w="6255" w:type="dxa"/>
          </w:tcPr>
          <w:p w14:paraId="551DB9C7">
            <w:pPr>
              <w:spacing w:line="480" w:lineRule="exact"/>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安全运维管理平台、日志审计、数据库审计、堡垒机、终端安全管理系统、数据备份系统等</w:t>
            </w:r>
          </w:p>
        </w:tc>
      </w:tr>
      <w:tr w14:paraId="73E7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1068545E">
            <w:pPr>
              <w:spacing w:line="480" w:lineRule="exact"/>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w:t>
            </w:r>
          </w:p>
        </w:tc>
        <w:tc>
          <w:tcPr>
            <w:tcW w:w="1365" w:type="dxa"/>
            <w:vAlign w:val="center"/>
          </w:tcPr>
          <w:p w14:paraId="46C56829">
            <w:pPr>
              <w:spacing w:line="480" w:lineRule="exact"/>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密码应用</w:t>
            </w:r>
          </w:p>
        </w:tc>
        <w:tc>
          <w:tcPr>
            <w:tcW w:w="6255" w:type="dxa"/>
          </w:tcPr>
          <w:p w14:paraId="741A689C">
            <w:pPr>
              <w:spacing w:line="480" w:lineRule="exact"/>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国密SSL VPN、国密门禁系统、签名验签服务器、国密密钥管理系统等</w:t>
            </w:r>
          </w:p>
        </w:tc>
      </w:tr>
    </w:tbl>
    <w:p w14:paraId="1D585113">
      <w:pPr>
        <w:spacing w:line="480" w:lineRule="exact"/>
        <w:ind w:firstLine="560" w:firstLineChars="200"/>
        <w:rPr>
          <w:rFonts w:hint="eastAsia" w:ascii="仿宋" w:hAnsi="仿宋" w:eastAsia="仿宋" w:cs="仿宋"/>
          <w:sz w:val="28"/>
          <w:szCs w:val="28"/>
          <w:lang w:eastAsia="zh-CN"/>
        </w:rPr>
      </w:pPr>
    </w:p>
    <w:p w14:paraId="69EF745B">
      <w:pPr>
        <w:spacing w:before="68" w:line="360" w:lineRule="auto"/>
        <w:ind w:right="115"/>
        <w:rPr>
          <w:rFonts w:hint="eastAsia" w:ascii="仿宋" w:hAnsi="仿宋" w:eastAsia="仿宋" w:cs="仿宋"/>
          <w:spacing w:val="-4"/>
          <w:sz w:val="24"/>
          <w:szCs w:val="24"/>
        </w:rPr>
      </w:pPr>
    </w:p>
    <w:p w14:paraId="2F696408">
      <w:pPr>
        <w:spacing w:before="68" w:line="360" w:lineRule="auto"/>
        <w:ind w:right="115"/>
        <w:rPr>
          <w:rFonts w:hint="eastAsia" w:ascii="仿宋" w:hAnsi="仿宋" w:eastAsia="仿宋" w:cs="仿宋"/>
          <w:spacing w:val="-4"/>
          <w:sz w:val="24"/>
          <w:szCs w:val="24"/>
        </w:rPr>
      </w:pPr>
    </w:p>
    <w:p w14:paraId="3A623588">
      <w:pPr>
        <w:spacing w:before="68" w:line="360" w:lineRule="auto"/>
        <w:ind w:right="115"/>
        <w:rPr>
          <w:rFonts w:hint="eastAsia" w:ascii="仿宋" w:hAnsi="仿宋" w:eastAsia="仿宋" w:cs="仿宋"/>
          <w:spacing w:val="-4"/>
          <w:sz w:val="24"/>
          <w:szCs w:val="24"/>
        </w:rPr>
      </w:pPr>
    </w:p>
    <w:p w14:paraId="62C0ED02">
      <w:pPr>
        <w:spacing w:before="68" w:line="360" w:lineRule="auto"/>
        <w:ind w:right="115"/>
        <w:rPr>
          <w:rFonts w:hint="eastAsia" w:ascii="仿宋" w:hAnsi="仿宋" w:eastAsia="仿宋" w:cs="仿宋"/>
          <w:spacing w:val="-4"/>
          <w:sz w:val="24"/>
          <w:szCs w:val="24"/>
        </w:rPr>
      </w:pPr>
    </w:p>
    <w:p w14:paraId="4B41E253">
      <w:pPr>
        <w:pStyle w:val="32"/>
        <w:rPr>
          <w:rFonts w:hint="eastAsia"/>
        </w:rPr>
      </w:pPr>
      <w:r>
        <w:rPr>
          <w:rFonts w:hint="eastAsia"/>
        </w:rPr>
        <w:t>项目建设内容</w:t>
      </w:r>
    </w:p>
    <w:p w14:paraId="5A689C71">
      <w:pPr>
        <w:spacing w:line="48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本次第三方验收测评服务要求对上述医院改扩建工程信息化项目进行全面的、独立的、客观的验收测评</w:t>
      </w:r>
      <w:r>
        <w:rPr>
          <w:rFonts w:hint="eastAsia" w:ascii="仿宋" w:hAnsi="仿宋" w:eastAsia="仿宋" w:cs="仿宋"/>
          <w:sz w:val="28"/>
          <w:szCs w:val="28"/>
          <w:lang w:eastAsia="zh-CN"/>
        </w:rPr>
        <w:t>。</w:t>
      </w:r>
    </w:p>
    <w:p w14:paraId="42792649">
      <w:pPr>
        <w:spacing w:line="48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3.1总体要求：</w:t>
      </w:r>
    </w:p>
    <w:p w14:paraId="45D59F11">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公平：实施方应遵循“面向应用、保证质量、客观公正、诚信守诺”的原则开展软件测评工作。</w:t>
      </w:r>
    </w:p>
    <w:p w14:paraId="3DB7BF15">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标准化：实施方应依据相关国家标准、行业标准开展测评工作。本测评要求所使用的标准和规范如与实施方所执行的标准不一致时，按较高标准执行。</w:t>
      </w:r>
    </w:p>
    <w:p w14:paraId="04C5E21A">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优质服务：本测试要求实施方提供的是最低限度的要求，实施方应保证提供符合本测评要求和有关标准的优质服务，并确保测评报告符合项目最终验收的所有要求。</w:t>
      </w:r>
    </w:p>
    <w:p w14:paraId="511CABC0">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保密义务：对测评服务过程中接触到的任何项目信息、系统数据、源代码、技术资料等，均负有保密责任，不得泄露给任何第三方，未经允许不得用于与服务无关的活动。</w:t>
      </w:r>
    </w:p>
    <w:p w14:paraId="6956F8BD">
      <w:pPr>
        <w:spacing w:line="48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3.2 测评依据</w:t>
      </w:r>
    </w:p>
    <w:p w14:paraId="1EC919BC">
      <w:pPr>
        <w:spacing w:line="48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.2.1、国家及行业标准</w:t>
      </w:r>
    </w:p>
    <w:p w14:paraId="1AE03788">
      <w:pPr>
        <w:spacing w:line="48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GB/T 25000.10-2016《系统与软件工程 系统与软件质量要求和评价(SQuaRE) 第10部分：系统与软件质量模型》</w:t>
      </w:r>
    </w:p>
    <w:p w14:paraId="37E34E8A">
      <w:pPr>
        <w:spacing w:line="48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GB/T 25000.51-2016《系统与软件工程 系统与软件质量要求和评价(SQuaRE) 第51部分：就绪可用软件产品(RUSP)的质量要求和测试细则》</w:t>
      </w:r>
    </w:p>
    <w:p w14:paraId="2CE1F8DE">
      <w:pPr>
        <w:spacing w:line="48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GB/T 22239-2019《信息安全技术 网络安全等级保护基本要求》</w:t>
      </w:r>
    </w:p>
    <w:p w14:paraId="1DDA21B5">
      <w:pPr>
        <w:spacing w:line="48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GB/T 28448-2019《信息安全技术 网络安全等级保护测评要求》</w:t>
      </w:r>
    </w:p>
    <w:p w14:paraId="41B609DA">
      <w:pPr>
        <w:spacing w:line="48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GB/T 43206-2023《信息安全技术 信息系统密码应用测评要求》</w:t>
      </w:r>
    </w:p>
    <w:p w14:paraId="09AE7DC1">
      <w:pPr>
        <w:spacing w:line="48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《商用密码应用安全性评估管理办法》</w:t>
      </w:r>
    </w:p>
    <w:p w14:paraId="11822FE4">
      <w:pPr>
        <w:spacing w:line="48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深政数〔2022〕136号《深圳市政务信息化项目检测与验收管理办法》</w:t>
      </w:r>
    </w:p>
    <w:p w14:paraId="127E4CA0">
      <w:pPr>
        <w:spacing w:line="48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GB/T 15532-2008 《计算机软件测试规范》</w:t>
      </w:r>
    </w:p>
    <w:p w14:paraId="7FBAEE15">
      <w:pPr>
        <w:spacing w:line="48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GB/T 18905.6-2002 《软件工程产品评价第 6 部分 : 评价模块的文档编制》</w:t>
      </w:r>
    </w:p>
    <w:p w14:paraId="0960FF93">
      <w:pPr>
        <w:spacing w:line="48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GB/T 18492-2001 《信息技术系统及软件完整性级别》</w:t>
      </w:r>
    </w:p>
    <w:p w14:paraId="547A10C1">
      <w:pPr>
        <w:spacing w:line="48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GB/T 8566-2022 《系统与软件工程 软件生存周期过程》</w:t>
      </w:r>
    </w:p>
    <w:p w14:paraId="54BB2922">
      <w:pPr>
        <w:spacing w:line="48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.2.2、项目文档</w:t>
      </w:r>
    </w:p>
    <w:p w14:paraId="0985C1B2">
      <w:pPr>
        <w:spacing w:line="48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项目招投标文件、合同书、需求规格说明书、系统设计方案、用户手册、工程变更单等。</w:t>
      </w:r>
    </w:p>
    <w:p w14:paraId="4DFC25EC">
      <w:pPr>
        <w:spacing w:line="48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3.3 测评质量要求</w:t>
      </w:r>
    </w:p>
    <w:p w14:paraId="04CC61EC">
      <w:pPr>
        <w:spacing w:line="48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检测报告内容及数据要求准确、完整、客观、公正；</w:t>
      </w:r>
    </w:p>
    <w:p w14:paraId="0C259D69">
      <w:pPr>
        <w:spacing w:line="48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测试质量应符合评测规范中的相关要求；</w:t>
      </w:r>
    </w:p>
    <w:p w14:paraId="6B563029">
      <w:pPr>
        <w:spacing w:line="48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客观评估建设项目是否达到系统建设的要求，同时技术评测结果或检测报告需提交采购人确认。</w:t>
      </w:r>
    </w:p>
    <w:p w14:paraId="31AFE715">
      <w:pPr>
        <w:spacing w:line="48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3.4 测评服务内容</w:t>
      </w:r>
    </w:p>
    <w:p w14:paraId="57E65F17">
      <w:pPr>
        <w:spacing w:line="48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根据《深圳市政务信息化项目检测与验收管理办法》（深政数〔2022〕136号）及相关项目建设要求，现需开展第三方测评服务。服务范围覆盖《南方科技大学医院改扩建工程信息化项目第三方验收测评服务项目》，主要包括以下三类测评内容：</w:t>
      </w:r>
    </w:p>
    <w:p w14:paraId="2174D86A">
      <w:pPr>
        <w:spacing w:line="48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项目验收测评（含软件系统及相关硬件设备的验收测评）；</w:t>
      </w:r>
    </w:p>
    <w:p w14:paraId="09EC6EF8">
      <w:pPr>
        <w:spacing w:line="48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网络安全等级保护测评；</w:t>
      </w:r>
    </w:p>
    <w:p w14:paraId="45469514">
      <w:pPr>
        <w:spacing w:line="48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商用密码应用安全性评估。</w:t>
      </w:r>
    </w:p>
    <w:p w14:paraId="0CBA7D6D">
      <w:pPr>
        <w:spacing w:line="48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具体服务内容要求如下:</w:t>
      </w:r>
    </w:p>
    <w:p w14:paraId="57859E6A">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3.4.1 项目验收测评</w:t>
      </w:r>
    </w:p>
    <w:p w14:paraId="4DA6D252">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1、服务范围与目标</w:t>
      </w:r>
    </w:p>
    <w:p w14:paraId="69B381C7">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测评对象：《南方科技大学医院改扩建工程信息化项目第三方验收测评服务项目》。</w:t>
      </w:r>
    </w:p>
    <w:p w14:paraId="24C4BC2E">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作目标：通过对项目全面的验收测评，客观、公正地评估信息化建设项目的工程质量、功能实现、性能表现与安全合规性。旨在识别潜在缺陷与风险，提供专业改进建议，确保项目成果符合国家、行业、地方相关标准及合同约定要求，为项目最终验收提供可靠依据，保障系统上线后稳定、安全、高效运行，支撑医院业务顺利开展。</w:t>
      </w:r>
    </w:p>
    <w:p w14:paraId="37CEF49B">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2、服务内容与要求</w:t>
      </w:r>
    </w:p>
    <w:p w14:paraId="447691C4">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功能性测试：按照合同对其功能实现进行检测，确认其是否已正常实现，且能否满足建设合同中约定的建设需求。</w:t>
      </w:r>
    </w:p>
    <w:p w14:paraId="367EEB03">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性能效率测试：按照相关检测标准对项目的性能指标进行检测，检测性能指标是否满足招投标文件、建设合同以及已确定的需求文件的要求，以验证所测试的系统的性能效率是否在正常情况下满足建设及使用要求。</w:t>
      </w:r>
    </w:p>
    <w:p w14:paraId="64AF0BC4">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可靠性测试：评估系统的成熟性、容错性、易恢复性。</w:t>
      </w:r>
    </w:p>
    <w:p w14:paraId="4DD70150">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安全漏洞扫描：按照相关工程技术文件及规范检测信息安全性是否满足招标文件、建设合同以及已确定的需求文件、设计文件的要求，对项目的应用系统进行安全漏洞扫描检测，确保应用系统不包含高级别安全漏洞，以验证所测试系统的信息安全性是否满足建设及使用要求。</w:t>
      </w:r>
    </w:p>
    <w:p w14:paraId="223C1A2F">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源代码安全审查：根据被测系统的特点，使用正版的源代码扫描工具对系统的源代码进行安全审计，出具源代码安全审查报告，针对报告的问题和采购人沟通协助修复，直到所有中高危问题完全修复后出具最终的安全审查报告。</w:t>
      </w:r>
    </w:p>
    <w:p w14:paraId="5734B831">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用户文档集测试：据标准规范及项目建设要求，对项目竣工文档进行测试与核查，主要包括完整性、正确性、一致性、易理解性及易浏览性等方面。</w:t>
      </w:r>
    </w:p>
    <w:p w14:paraId="07E7AA08">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系统系连通性测试：根据相关要求，依据各建设项目的合同要求，对系统连通性进行测试，包括备连通性、网络连通性、应用连通性等。</w:t>
      </w:r>
    </w:p>
    <w:p w14:paraId="65942567">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软件许可核查：依据各建设项目的合同及相关有效性文档，对采购的软件产品进行核对检查，测评是否符合合同及招投标文件的要求，包括软件名称，许可证及许可信息。</w:t>
      </w:r>
    </w:p>
    <w:p w14:paraId="4C9C3B5E">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硬件设备核查：依据各建设项目的合同及相关有效性文档，对采购的硬件设备进行核对检查，测评是否符合合同及招投标文件的要求，包括品牌、型号、规格、数量等。</w:t>
      </w:r>
    </w:p>
    <w:p w14:paraId="1E7BA0B5">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设备运行状态核查：对设备进行加电测评，确定硬件设备在通电后均可无故障运行。</w:t>
      </w:r>
    </w:p>
    <w:p w14:paraId="30C55976">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3、服务交付与验收标准</w:t>
      </w:r>
    </w:p>
    <w:p w14:paraId="4036CBFA">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主要交付成果：</w:t>
      </w:r>
    </w:p>
    <w:p w14:paraId="003470C8">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出具项目验收测评报告，内容包括但不限于测评实施方案、测试用例及执行记录、测评问题报告单、测评总结（含软硬件）、源代码安全审查报告等。</w:t>
      </w:r>
    </w:p>
    <w:p w14:paraId="54EA8665">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交付形式要求：</w:t>
      </w:r>
    </w:p>
    <w:p w14:paraId="5982A60B">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以上报告及文档均需提供纸质版（通常一式两份，加盖测评单位公章）和电子版（可编辑的Word/Excel及不可更改的PDF格式）。</w:t>
      </w:r>
    </w:p>
    <w:p w14:paraId="67A65A39">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所有交付物的内容必须准确、客观、可追溯，符合国家、行业相关标准规范，并满足项目最终验收和审计的归档要求。</w:t>
      </w:r>
    </w:p>
    <w:p w14:paraId="52CC5FB0">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3.4.2 网络安全等级保护测评</w:t>
      </w:r>
    </w:p>
    <w:p w14:paraId="20BE6844">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落实国家网络安全等级保护制度，保障医院信息系统安全稳定运行，现需对医院在用的信息系统开展年度等级保护测评工作。本项服务要求针对医院指定的信息系统进行，服务供应商须提供从定级备案到测评整改的全流程服务，具体内容与要求如下：</w:t>
      </w:r>
    </w:p>
    <w:p w14:paraId="151A67E6">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1、服务范围与目标</w:t>
      </w:r>
    </w:p>
    <w:p w14:paraId="44812E48">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测评对象：医院指定的4个二级信息系统。</w:t>
      </w:r>
    </w:p>
    <w:p w14:paraId="5CEDA071">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工作目标：全面评估信息系统的安全保护状况，发现与国家等级保护标准之间的差距，提供科学、客观的测评报告及可操作的整改建议，协助医院建立并完善网络安全防护体系，确保通过公安机关的监督检查。</w:t>
      </w:r>
    </w:p>
    <w:p w14:paraId="04489A38">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2、服务内容与要求</w:t>
      </w:r>
    </w:p>
    <w:p w14:paraId="26D99D99">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（1）定级备案协助与服务</w:t>
      </w:r>
    </w:p>
    <w:p w14:paraId="481CA496">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自主定级：依据《信息安全等级保护管理办法》及相关行业指导文件，协助医院对全部在用信息系统进行科学、准确的自主定级，确定其安全保护等级。</w:t>
      </w:r>
    </w:p>
    <w:p w14:paraId="7A8A6171">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备案变更：协助医院准备定级备案材料，完成新系统在公安机关的备案工作。同时，协助完成已下线系统的备案变更或注销手续。</w:t>
      </w:r>
    </w:p>
    <w:p w14:paraId="0744227E">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交付成果：《网络安全等级测评报告》、《网络安全等级保护备案证明》、《网络安全等级测评报告接收回执》。</w:t>
      </w:r>
    </w:p>
    <w:p w14:paraId="549DA834">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（2）等级保护测评</w:t>
      </w:r>
    </w:p>
    <w:p w14:paraId="3E02DE29">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测评依据：严格依据《信息安全技术 网络安全等级保护基本要求》（GB/T 22239-2019）、《信息安全技术 网络安全等级保护测评要求》（GB/T 28448-2019）及《信息安全技术 网络安全等级保护测评过程指南》等现行有效标准执行。</w:t>
      </w:r>
    </w:p>
    <w:p w14:paraId="3D67FAFE">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测评内容：测评应全面覆盖技术和管理两个层面。</w:t>
      </w:r>
    </w:p>
    <w:p w14:paraId="2940F8FB">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技术安全测评：包括安全物理环境、安全通信网络、安全区域边界、安全计算环境、安全管理五个方面的符合性测评。技术手段应至少包含渗透测试、漏洞扫描、安全配置核查、网络架构评估等。</w:t>
      </w:r>
    </w:p>
    <w:p w14:paraId="2821CAAE">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管理安全测评：包括安全管理制度、安全管理机构、安全管理人员、安全建设管理、安全运维管理五个方面的符合性测评。</w:t>
      </w:r>
    </w:p>
    <w:p w14:paraId="52A6F114">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测评流程与交付：通过现场访谈、文档审查、工具测试、实地查验等方式进行测评，分析系统现状与标准要求的差距，编制详细的问题清单和风险评估，最终形成正式的等级保护测评报告。</w:t>
      </w:r>
    </w:p>
    <w:p w14:paraId="10610A8B">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交付成果：由具备国家网络安全等级保护工作协调小组办公室认可资质的第三方测评机构出具的、符合公安机关规范要求的《网络安全等级保护测评报告》、《网络安全等级保护备案证明》,并协助获得公安机关的测评报告提交回执。</w:t>
      </w:r>
    </w:p>
    <w:p w14:paraId="70E9603C">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（3）整改复测与咨询服务</w:t>
      </w:r>
    </w:p>
    <w:p w14:paraId="53E0855F">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整改复测：在医院根据测评报告或整改方案完成安全加固后，中标人应按照医院安排，对已整改项进行复测验证，确保安全问题切实得到解决，并出具复测记录或说明。</w:t>
      </w:r>
    </w:p>
    <w:p w14:paraId="4A57E114">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咨询服务：在服务期内，提供与等级保护工作相关的政策解读、技术咨询、应急响应建议等持续性安全咨询服务。</w:t>
      </w:r>
    </w:p>
    <w:p w14:paraId="4901C59C">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（4）服务交付与验收标准</w:t>
      </w:r>
    </w:p>
    <w:p w14:paraId="1B5FBA53">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主要交付成果：</w:t>
      </w:r>
    </w:p>
    <w:p w14:paraId="295CFBAF">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《网络安全等级测评报告》、《网络安全等级保护备案证明》、《网络安全等级测评报告接收回执》、《测评过程文档》、《安全整改建议书》。</w:t>
      </w:r>
    </w:p>
    <w:p w14:paraId="0057AD76">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3.4.3 商用密码应用安全性评估</w:t>
      </w:r>
    </w:p>
    <w:p w14:paraId="6391815B">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1、服务范围与目标</w:t>
      </w:r>
    </w:p>
    <w:p w14:paraId="7F258582">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测评对象：医院指定的4个信息系统开展密评。</w:t>
      </w:r>
    </w:p>
    <w:p w14:paraId="10DCF0E4">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法律与标准依据：服务必须严格遵循国家密码管理法律法规，并依据《信息安全技术 信息系统密码应用测评要求》（GB/T 43206-2023）等现行有效标准开展。</w:t>
      </w:r>
    </w:p>
    <w:p w14:paraId="523FB456">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服务目标：全面评估信息系统密码应用现状，发现与国家标准的差距及潜在风险，提供专业的整改建议，并协助最终取得通过密码管理局备案的正式评估报告。</w:t>
      </w:r>
    </w:p>
    <w:p w14:paraId="296FB28D">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2、服务内容与具体要求</w:t>
      </w:r>
    </w:p>
    <w:p w14:paraId="7DD5EA78">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（1）密码应用方案编制咨询与评估</w:t>
      </w:r>
    </w:p>
    <w:p w14:paraId="5BD183D5">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方案咨询：在院方编制或修订信息系统密码应用建设/改造方案阶段，提供专业的技术咨询服务，确保方案框架的科学性与合规性。</w:t>
      </w:r>
    </w:p>
    <w:p w14:paraId="487EBD89">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方案评估：对院方提交的《密码应用方案》进行正式评估。评估应全面覆盖方案的技术框架合理性、密钥管理设计合规性、部署实施可行性及安全保障措施有效性等方面。</w:t>
      </w:r>
    </w:p>
    <w:p w14:paraId="20D3B964">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评估结论与报告：出具正式的《商用密码应用方案评估报告》，报告中须明确给出“通过”或“不通过”的结论，并对不适用、不符合项进行详细说明。该报告需符合国家或省级密码管理部门的规范要求，并通过当地密码管理局的备案。</w:t>
      </w:r>
    </w:p>
    <w:p w14:paraId="49AF25BE">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（2）商用密码应用安全性评估</w:t>
      </w:r>
    </w:p>
    <w:p w14:paraId="0FA6EAAE">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评估内容：对信息系统实际运行的密码应用情况进行测评，评估应涵盖以下四个维度：</w:t>
      </w:r>
    </w:p>
    <w:p w14:paraId="5606B461">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通用要求评估：核查系统中使用的密码算法、技术、产品及服务是否合规。</w:t>
      </w:r>
    </w:p>
    <w:p w14:paraId="5BB4A3E7">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密码技术应用评估：从物理和环境、网络和通信、设备和计算、应用和数据四个层面，评估密码技术应用的正确性与有效性。</w:t>
      </w:r>
    </w:p>
    <w:p w14:paraId="7083AE14">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密钥管理评估：对密钥全生命周期（密钥生成、存储、分发、使用、更新、归档、销毁等）的管理策略与流程进行评估。</w:t>
      </w:r>
    </w:p>
    <w:p w14:paraId="0F7DB7C2">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安全管理评估：对密码相关的管理制度、人员管理、建设运行和应急处置等管理措施进行评估。</w:t>
      </w:r>
    </w:p>
    <w:p w14:paraId="7DAD9DC2">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评估方法：采用文档审查、配置检查、工具测试、访谈调研等多种方式相结合。</w:t>
      </w:r>
    </w:p>
    <w:p w14:paraId="6EAB8B2B">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评估结论与报告：根据测评结果，综合分析系统密码应用现状与标准要求的差距及风险，在最终的《商用密码应用安全性评估报告》中给出“符合”、“基本符合”或“不符合”的结论。该报告必须通过当地密码管理局的备案。</w:t>
      </w:r>
    </w:p>
    <w:p w14:paraId="09532C02">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（3）整改督导与复测验证</w:t>
      </w:r>
    </w:p>
    <w:p w14:paraId="4CC449FE">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根据测评发现的问题，提供清晰的整改建议。</w:t>
      </w:r>
    </w:p>
    <w:p w14:paraId="127C91BF">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在院方实施整改过程中，提供必要的技术咨询。</w:t>
      </w:r>
    </w:p>
    <w:p w14:paraId="3518D0EE">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在院方完成整改后，进行复测验证，确保问题已有效解决，并更新评估结论（如需要）。</w:t>
      </w:r>
    </w:p>
    <w:p w14:paraId="658877E5">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3、服务交付与验收标准</w:t>
      </w:r>
    </w:p>
    <w:p w14:paraId="6B65E8FB">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主要交付成果：</w:t>
      </w:r>
    </w:p>
    <w:p w14:paraId="2173DDC8">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《商用密码应用方案评估报告》：每个系统纸质版2份，电子版1份。</w:t>
      </w:r>
    </w:p>
    <w:p w14:paraId="36450D3D">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《商用密码应用安全性评估报告》：每个系统纸质版2份，电子版1份。</w:t>
      </w:r>
    </w:p>
    <w:p w14:paraId="08557B71">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验收标准：测评过程符合标准要求，出具以上报告均需通过当地密码管理局的备案，并取得备案证明材料。报告备案成功视为本项服务的主要验收依据。</w:t>
      </w:r>
    </w:p>
    <w:p w14:paraId="0A2C1841">
      <w:pPr>
        <w:spacing w:line="48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3.5 商务需求</w:t>
      </w:r>
    </w:p>
    <w:p w14:paraId="6C78CB0B">
      <w:pPr>
        <w:spacing w:line="48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w:t>
      </w:r>
      <w:r>
        <w:rPr>
          <w:rFonts w:hint="eastAsia" w:ascii="仿宋" w:hAnsi="仿宋" w:eastAsia="仿宋" w:cs="仿宋"/>
          <w:sz w:val="28"/>
          <w:szCs w:val="28"/>
          <w:lang w:val="en-US" w:eastAsia="zh-CN"/>
        </w:rPr>
        <w:t>5.</w:t>
      </w:r>
      <w:r>
        <w:rPr>
          <w:rFonts w:hint="default" w:ascii="仿宋" w:hAnsi="仿宋" w:eastAsia="仿宋" w:cs="仿宋"/>
          <w:sz w:val="28"/>
          <w:szCs w:val="28"/>
          <w:lang w:val="en-US" w:eastAsia="zh-CN"/>
        </w:rPr>
        <w:t>1测评资质要求</w:t>
      </w:r>
    </w:p>
    <w:p w14:paraId="0613A1AE">
      <w:pPr>
        <w:spacing w:line="48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项目验收测评：具备以下两项资质之一：1）中国合格评定国家认可委员会颁发的检验机构或实验室认可证书（CNAS）；2）中国国家认证认可监督管理委员会的检验检测机构资质认定证书（国家级CMA）；</w:t>
      </w:r>
    </w:p>
    <w:p w14:paraId="31E6D3BB">
      <w:pPr>
        <w:spacing w:line="48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网络安全等级保护测评：供应商（或其委托的分包机构）具有公安部第三研究所颁发的《网络安全服务认证证书等级保护测评服务认证》，且在有效期内；</w:t>
      </w:r>
    </w:p>
    <w:p w14:paraId="22832E99">
      <w:pPr>
        <w:spacing w:line="48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商用密码应用安全性评估：供应商（或其委托的分包机构）具有国家密码管理局颁发的《商用密码应用安全性评估机构资质证书》，且在有效期内。</w:t>
      </w:r>
    </w:p>
    <w:p w14:paraId="7DFCD021">
      <w:pPr>
        <w:spacing w:line="48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w:t>
      </w:r>
      <w:r>
        <w:rPr>
          <w:rFonts w:hint="eastAsia" w:ascii="仿宋" w:hAnsi="仿宋" w:eastAsia="仿宋" w:cs="仿宋"/>
          <w:sz w:val="28"/>
          <w:szCs w:val="28"/>
          <w:lang w:val="en-US" w:eastAsia="zh-CN"/>
        </w:rPr>
        <w:t>5.</w:t>
      </w:r>
      <w:r>
        <w:rPr>
          <w:rFonts w:hint="default" w:ascii="仿宋" w:hAnsi="仿宋" w:eastAsia="仿宋" w:cs="仿宋"/>
          <w:sz w:val="28"/>
          <w:szCs w:val="28"/>
          <w:lang w:val="en-US" w:eastAsia="zh-CN"/>
        </w:rPr>
        <w:t>2服务实施与责任要求</w:t>
      </w:r>
    </w:p>
    <w:p w14:paraId="0D3F3CFB">
      <w:pPr>
        <w:spacing w:line="48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鉴于本项目的综合性，允许供应商(中标人)将上述专项测评服务中自身不具备资质的部分，分包给符合本章第3.1条对应资质要求的第三方机构实施。但必须遵守以下规定：</w:t>
      </w:r>
    </w:p>
    <w:p w14:paraId="02A5B8D4">
      <w:pPr>
        <w:spacing w:line="48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总包责任：供应商(中标人)作为本项目的签约方和总负责方，须对全部测评服务（包括其分包部分）的整体质量、进度、安全保密、协调配合和最终成果交付承担全部责任。采购人的所有指令、款项支付、履约验收及违约追责均仅针对供应商(中标人)。</w:t>
      </w:r>
    </w:p>
    <w:p w14:paraId="7AC16E5C">
      <w:pPr>
        <w:spacing w:line="48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分包管理：</w:t>
      </w:r>
    </w:p>
    <w:p w14:paraId="0874EC3B">
      <w:pPr>
        <w:spacing w:line="48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供应商(中标人)应在投标文件中明确其自身具备的资质，以及拟分包的服务内容。</w:t>
      </w:r>
    </w:p>
    <w:p w14:paraId="72A094DC">
      <w:pPr>
        <w:spacing w:line="48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中标后、签订合同前，供应商(中标人)必须向采购人书面报备拟选定的分包机构及其资质证明，经采购人书面同意后方可实施分包。</w:t>
      </w:r>
    </w:p>
    <w:p w14:paraId="61B27BB2">
      <w:pPr>
        <w:spacing w:line="48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分包必须签订正式协议，且不得再次转包。</w:t>
      </w:r>
    </w:p>
    <w:p w14:paraId="2D8B8C9B">
      <w:pPr>
        <w:spacing w:line="48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费用承担：因履行本合同（包括委托具备资质的第三方机构进行等保测评、密评）所产生的一切费用，均已包含在项目总价中，由供应商(中标人)承担。</w:t>
      </w:r>
    </w:p>
    <w:p w14:paraId="1722B53D">
      <w:pPr>
        <w:spacing w:line="480" w:lineRule="exact"/>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3.6 项目工期</w:t>
      </w:r>
    </w:p>
    <w:p w14:paraId="087E9C1D">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本项目服务期自合同签订之日起计算，至全部服务内容完成、所有约定成果交付并经采购人书面确认或通过相应主管部门审验为止。各项具体服务的完成标志如下：</w:t>
      </w:r>
    </w:p>
    <w:p w14:paraId="62A8B548">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项目验收测评：以采购人签收中标人出具的相应第三方测评报告为该项服务完成的标志。</w:t>
      </w:r>
    </w:p>
    <w:p w14:paraId="5F5C231B">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网络安全等级保护测评：以中标人委托的、具备具有公安部第三研究所颁发的《网络安全服务认证证书等级保护测评服务认证》的第三方测评机构，出具</w:t>
      </w:r>
      <w:r>
        <w:rPr>
          <w:rFonts w:hint="eastAsia" w:ascii="仿宋" w:hAnsi="仿宋" w:eastAsia="仿宋" w:cs="仿宋"/>
          <w:sz w:val="28"/>
          <w:szCs w:val="28"/>
          <w:lang w:val="en-US" w:eastAsia="zh-CN"/>
        </w:rPr>
        <w:t>4</w:t>
      </w:r>
      <w:r>
        <w:rPr>
          <w:rFonts w:hint="eastAsia" w:ascii="仿宋" w:hAnsi="仿宋" w:eastAsia="仿宋" w:cs="仿宋"/>
          <w:sz w:val="28"/>
          <w:szCs w:val="28"/>
        </w:rPr>
        <w:t>个系统的《网络安全等级保护测评报告》，且报告通过当地公安机关备案视为该项服务完成的标志。</w:t>
      </w:r>
    </w:p>
    <w:p w14:paraId="08697053">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商用密码应用安全性评估：以中标人委托的、具备国家认可资质的第三方测评机构，出具</w:t>
      </w:r>
      <w:r>
        <w:rPr>
          <w:rFonts w:hint="eastAsia" w:ascii="仿宋" w:hAnsi="仿宋" w:eastAsia="仿宋" w:cs="仿宋"/>
          <w:sz w:val="28"/>
          <w:szCs w:val="28"/>
          <w:lang w:val="en-US" w:eastAsia="zh-CN"/>
        </w:rPr>
        <w:t>4</w:t>
      </w:r>
      <w:r>
        <w:rPr>
          <w:rFonts w:hint="eastAsia" w:ascii="仿宋" w:hAnsi="仿宋" w:eastAsia="仿宋" w:cs="仿宋"/>
          <w:sz w:val="28"/>
          <w:szCs w:val="28"/>
        </w:rPr>
        <w:t>个系统的正式《商用密码应用方案评估报告》与《商用密码应用安全性评估报告》，且该报告通过当地密码管理局备案为该项服务完成的标志。</w:t>
      </w:r>
    </w:p>
    <w:p w14:paraId="0DC5D1CB">
      <w:pPr>
        <w:spacing w:line="48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3.7 验收要求</w:t>
      </w:r>
    </w:p>
    <w:p w14:paraId="26D7C877">
      <w:pPr>
        <w:spacing w:line="48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由采购单位组织负责组织验收工作，服务经过双方检验认可后，签署验收报告。验收标准以各类测评工作服务交付与验收标准为准。</w:t>
      </w:r>
    </w:p>
    <w:p w14:paraId="519570C8">
      <w:pPr>
        <w:spacing w:line="480" w:lineRule="exact"/>
        <w:rPr>
          <w:rFonts w:hint="eastAsia" w:ascii="仿宋" w:hAnsi="仿宋" w:eastAsia="仿宋" w:cs="仿宋"/>
          <w:sz w:val="28"/>
          <w:szCs w:val="28"/>
        </w:rPr>
      </w:pPr>
    </w:p>
    <w:p w14:paraId="403E7788">
      <w:pPr>
        <w:pStyle w:val="32"/>
        <w:rPr>
          <w:rFonts w:hint="eastAsia"/>
        </w:rPr>
      </w:pPr>
      <w:r>
        <w:rPr>
          <w:rFonts w:hint="eastAsia"/>
        </w:rPr>
        <w:t>项目预算说明</w:t>
      </w:r>
    </w:p>
    <w:p w14:paraId="7A6173A3">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根据建设内容给出项目申请预算表或给出市场询价报告(不限于其他医院类似项目的合同价，相关网站类似项目中标价或咨询相关厂家报价)。</w:t>
      </w:r>
    </w:p>
    <w:p w14:paraId="038A825E">
      <w:pPr>
        <w:spacing w:line="480" w:lineRule="exact"/>
        <w:ind w:firstLine="560" w:firstLineChars="200"/>
        <w:rPr>
          <w:rFonts w:hint="eastAsia" w:ascii="仿宋" w:hAnsi="仿宋" w:eastAsia="仿宋" w:cs="仿宋"/>
          <w:sz w:val="28"/>
          <w:szCs w:val="28"/>
        </w:rPr>
      </w:pPr>
    </w:p>
    <w:sectPr>
      <w:pgSz w:w="11905" w:h="16837" w:orient="landscape"/>
      <w:pgMar w:top="1440" w:right="1800" w:bottom="1440" w:left="1800" w:header="850" w:footer="9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9664B2"/>
    <w:multiLevelType w:val="multilevel"/>
    <w:tmpl w:val="449664B2"/>
    <w:lvl w:ilvl="0" w:tentative="0">
      <w:start w:val="1"/>
      <w:numFmt w:val="chineseCountingThousand"/>
      <w:pStyle w:val="32"/>
      <w:suff w:val="space"/>
      <w:lvlText w:val="第%1章"/>
      <w:lvlJc w:val="left"/>
      <w:pPr>
        <w:ind w:left="0" w:firstLine="0"/>
      </w:pPr>
      <w:rPr>
        <w:rFonts w:hint="default" w:ascii="Times New Roman" w:hAnsi="Times New Roman" w:eastAsia="黑体"/>
        <w:b/>
        <w:i w:val="0"/>
        <w:sz w:val="32"/>
      </w:rPr>
    </w:lvl>
    <w:lvl w:ilvl="1" w:tentative="0">
      <w:start w:val="1"/>
      <w:numFmt w:val="decimal"/>
      <w:isLgl/>
      <w:suff w:val="space"/>
      <w:lvlText w:val="%1.%2"/>
      <w:lvlJc w:val="left"/>
      <w:pPr>
        <w:ind w:left="0" w:firstLine="0"/>
      </w:pPr>
      <w:rPr>
        <w:rFonts w:hint="default" w:ascii="Times New Roman" w:hAnsi="Times New Roman" w:cs="Times New Roman"/>
        <w:sz w:val="28"/>
      </w:rPr>
    </w:lvl>
    <w:lvl w:ilvl="2" w:tentative="0">
      <w:start w:val="1"/>
      <w:numFmt w:val="decimal"/>
      <w:isLgl/>
      <w:suff w:val="space"/>
      <w:lvlText w:val="%1.%2.%3"/>
      <w:lvlJc w:val="left"/>
      <w:pPr>
        <w:ind w:left="0" w:firstLine="0"/>
      </w:pPr>
      <w:rPr>
        <w:rFonts w:hint="default" w:ascii="Times New Roman" w:hAnsi="Times New Roman" w:eastAsia="黑体"/>
        <w:sz w:val="24"/>
      </w:rPr>
    </w:lvl>
    <w:lvl w:ilvl="3" w:tentative="0">
      <w:start w:val="1"/>
      <w:numFmt w:val="decimal"/>
      <w:isLgl/>
      <w:suff w:val="space"/>
      <w:lvlText w:val="%1.%2.%3.%4"/>
      <w:lvlJc w:val="left"/>
      <w:pPr>
        <w:ind w:left="0" w:firstLine="0"/>
      </w:pPr>
      <w:rPr>
        <w:rFonts w:hint="default" w:ascii="Times New Roman" w:hAnsi="Times New Roman" w:eastAsia="黑体"/>
        <w:sz w:val="24"/>
      </w:rPr>
    </w:lvl>
    <w:lvl w:ilvl="4" w:tentative="0">
      <w:start w:val="1"/>
      <w:numFmt w:val="decimal"/>
      <w:isLgl/>
      <w:suff w:val="space"/>
      <w:lvlText w:val="%1.%2.%3.%4.%5"/>
      <w:lvlJc w:val="left"/>
      <w:pPr>
        <w:ind w:left="0" w:firstLine="0"/>
      </w:pPr>
      <w:rPr>
        <w:rFonts w:hint="default" w:ascii="Times New Roman" w:hAnsi="Times New Roman" w:eastAsia="宋体"/>
        <w:b w:val="0"/>
        <w:i w:val="0"/>
        <w:sz w:val="24"/>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wNDgxN2MyZGQxMWZlOWEwNjNmNWY4NTkwMjg5NjgifQ=="/>
  </w:docVars>
  <w:rsids>
    <w:rsidRoot w:val="00D67FAC"/>
    <w:rsid w:val="00003119"/>
    <w:rsid w:val="00021E12"/>
    <w:rsid w:val="00046A21"/>
    <w:rsid w:val="000565A6"/>
    <w:rsid w:val="000918D8"/>
    <w:rsid w:val="0009294F"/>
    <w:rsid w:val="000D33F9"/>
    <w:rsid w:val="000D5EFD"/>
    <w:rsid w:val="000F2D3A"/>
    <w:rsid w:val="000F67EF"/>
    <w:rsid w:val="00102CF8"/>
    <w:rsid w:val="00122E11"/>
    <w:rsid w:val="001454C2"/>
    <w:rsid w:val="00164B03"/>
    <w:rsid w:val="00192D51"/>
    <w:rsid w:val="001A1B31"/>
    <w:rsid w:val="001A2B04"/>
    <w:rsid w:val="001A2FAB"/>
    <w:rsid w:val="001A30FF"/>
    <w:rsid w:val="001A3D94"/>
    <w:rsid w:val="001B4025"/>
    <w:rsid w:val="00201953"/>
    <w:rsid w:val="00201AC6"/>
    <w:rsid w:val="0022242C"/>
    <w:rsid w:val="002233BD"/>
    <w:rsid w:val="0022445E"/>
    <w:rsid w:val="00245AF8"/>
    <w:rsid w:val="00264B20"/>
    <w:rsid w:val="002714DB"/>
    <w:rsid w:val="0027199D"/>
    <w:rsid w:val="00271F48"/>
    <w:rsid w:val="00285FA4"/>
    <w:rsid w:val="002B2C33"/>
    <w:rsid w:val="002C6D6C"/>
    <w:rsid w:val="002E0BB1"/>
    <w:rsid w:val="002E18A3"/>
    <w:rsid w:val="002E2F50"/>
    <w:rsid w:val="002E6044"/>
    <w:rsid w:val="00350E52"/>
    <w:rsid w:val="003524F1"/>
    <w:rsid w:val="003578E6"/>
    <w:rsid w:val="00375A16"/>
    <w:rsid w:val="003930B0"/>
    <w:rsid w:val="003D53E2"/>
    <w:rsid w:val="003E032A"/>
    <w:rsid w:val="003F51B3"/>
    <w:rsid w:val="0041372B"/>
    <w:rsid w:val="00414654"/>
    <w:rsid w:val="00415B9A"/>
    <w:rsid w:val="004300D2"/>
    <w:rsid w:val="004346BA"/>
    <w:rsid w:val="00440F6B"/>
    <w:rsid w:val="00441FBC"/>
    <w:rsid w:val="00443998"/>
    <w:rsid w:val="0045183B"/>
    <w:rsid w:val="00453518"/>
    <w:rsid w:val="00457597"/>
    <w:rsid w:val="004612DE"/>
    <w:rsid w:val="004C3389"/>
    <w:rsid w:val="004E50F9"/>
    <w:rsid w:val="004F5CDC"/>
    <w:rsid w:val="00521F58"/>
    <w:rsid w:val="0052608C"/>
    <w:rsid w:val="005313F2"/>
    <w:rsid w:val="00573940"/>
    <w:rsid w:val="00576A94"/>
    <w:rsid w:val="00585497"/>
    <w:rsid w:val="00593D40"/>
    <w:rsid w:val="005961B3"/>
    <w:rsid w:val="005A6509"/>
    <w:rsid w:val="005B0A1E"/>
    <w:rsid w:val="005B790D"/>
    <w:rsid w:val="005C3252"/>
    <w:rsid w:val="005E5177"/>
    <w:rsid w:val="00612624"/>
    <w:rsid w:val="00613F88"/>
    <w:rsid w:val="0062252D"/>
    <w:rsid w:val="00625FDE"/>
    <w:rsid w:val="00634743"/>
    <w:rsid w:val="006426F1"/>
    <w:rsid w:val="00644919"/>
    <w:rsid w:val="00650FEE"/>
    <w:rsid w:val="00654F2C"/>
    <w:rsid w:val="00656060"/>
    <w:rsid w:val="00657569"/>
    <w:rsid w:val="00662DD1"/>
    <w:rsid w:val="006744F4"/>
    <w:rsid w:val="00693430"/>
    <w:rsid w:val="006C723D"/>
    <w:rsid w:val="006D4096"/>
    <w:rsid w:val="007068DC"/>
    <w:rsid w:val="007203E7"/>
    <w:rsid w:val="00731190"/>
    <w:rsid w:val="007354E1"/>
    <w:rsid w:val="00745220"/>
    <w:rsid w:val="00747424"/>
    <w:rsid w:val="007669A5"/>
    <w:rsid w:val="00774264"/>
    <w:rsid w:val="007946EE"/>
    <w:rsid w:val="007A731B"/>
    <w:rsid w:val="007B0268"/>
    <w:rsid w:val="007B428F"/>
    <w:rsid w:val="007C1B60"/>
    <w:rsid w:val="007E10C3"/>
    <w:rsid w:val="007F79DF"/>
    <w:rsid w:val="0080411A"/>
    <w:rsid w:val="008107BD"/>
    <w:rsid w:val="00814163"/>
    <w:rsid w:val="008203E2"/>
    <w:rsid w:val="00827D8A"/>
    <w:rsid w:val="00836E17"/>
    <w:rsid w:val="008402BD"/>
    <w:rsid w:val="0085137E"/>
    <w:rsid w:val="008647B0"/>
    <w:rsid w:val="008734FC"/>
    <w:rsid w:val="008767D1"/>
    <w:rsid w:val="008856B2"/>
    <w:rsid w:val="008A5BA3"/>
    <w:rsid w:val="008B27D9"/>
    <w:rsid w:val="008B43E7"/>
    <w:rsid w:val="008C788B"/>
    <w:rsid w:val="008D03B9"/>
    <w:rsid w:val="008F152D"/>
    <w:rsid w:val="008F7A0A"/>
    <w:rsid w:val="00913711"/>
    <w:rsid w:val="00953FF8"/>
    <w:rsid w:val="0095525E"/>
    <w:rsid w:val="00963E7D"/>
    <w:rsid w:val="00970F4F"/>
    <w:rsid w:val="0097796D"/>
    <w:rsid w:val="00992DBF"/>
    <w:rsid w:val="009965C7"/>
    <w:rsid w:val="009C6EE3"/>
    <w:rsid w:val="009D0E57"/>
    <w:rsid w:val="009E0DBB"/>
    <w:rsid w:val="009E408F"/>
    <w:rsid w:val="009F0664"/>
    <w:rsid w:val="00A11C02"/>
    <w:rsid w:val="00A201CF"/>
    <w:rsid w:val="00A31F00"/>
    <w:rsid w:val="00A34F5A"/>
    <w:rsid w:val="00A4510D"/>
    <w:rsid w:val="00A526C5"/>
    <w:rsid w:val="00A81247"/>
    <w:rsid w:val="00A817F6"/>
    <w:rsid w:val="00AA28FD"/>
    <w:rsid w:val="00AA6765"/>
    <w:rsid w:val="00AB7704"/>
    <w:rsid w:val="00AC195A"/>
    <w:rsid w:val="00AD2D97"/>
    <w:rsid w:val="00AD76E5"/>
    <w:rsid w:val="00AE450C"/>
    <w:rsid w:val="00AE5D4B"/>
    <w:rsid w:val="00B0439A"/>
    <w:rsid w:val="00B155C5"/>
    <w:rsid w:val="00B16332"/>
    <w:rsid w:val="00B25375"/>
    <w:rsid w:val="00B52A9E"/>
    <w:rsid w:val="00B52C9C"/>
    <w:rsid w:val="00B827FD"/>
    <w:rsid w:val="00BA03BD"/>
    <w:rsid w:val="00BA6BD2"/>
    <w:rsid w:val="00BD7C4B"/>
    <w:rsid w:val="00BE1693"/>
    <w:rsid w:val="00BF2657"/>
    <w:rsid w:val="00C0300F"/>
    <w:rsid w:val="00C127C9"/>
    <w:rsid w:val="00C229F9"/>
    <w:rsid w:val="00C31E1F"/>
    <w:rsid w:val="00C40014"/>
    <w:rsid w:val="00C42675"/>
    <w:rsid w:val="00C54C73"/>
    <w:rsid w:val="00C5634E"/>
    <w:rsid w:val="00C6499D"/>
    <w:rsid w:val="00C86843"/>
    <w:rsid w:val="00C93DF9"/>
    <w:rsid w:val="00C93F4C"/>
    <w:rsid w:val="00C96E71"/>
    <w:rsid w:val="00CD05A6"/>
    <w:rsid w:val="00CD3D41"/>
    <w:rsid w:val="00CE3038"/>
    <w:rsid w:val="00CF58CA"/>
    <w:rsid w:val="00D0156D"/>
    <w:rsid w:val="00D01F8D"/>
    <w:rsid w:val="00D11499"/>
    <w:rsid w:val="00D41797"/>
    <w:rsid w:val="00D45C97"/>
    <w:rsid w:val="00D526EE"/>
    <w:rsid w:val="00D52E77"/>
    <w:rsid w:val="00D5507A"/>
    <w:rsid w:val="00D559D4"/>
    <w:rsid w:val="00D60F63"/>
    <w:rsid w:val="00D62545"/>
    <w:rsid w:val="00D63276"/>
    <w:rsid w:val="00D67FAC"/>
    <w:rsid w:val="00D83EB7"/>
    <w:rsid w:val="00D925A6"/>
    <w:rsid w:val="00D96616"/>
    <w:rsid w:val="00DA1BF8"/>
    <w:rsid w:val="00DD43F8"/>
    <w:rsid w:val="00DE1407"/>
    <w:rsid w:val="00E101D2"/>
    <w:rsid w:val="00E14234"/>
    <w:rsid w:val="00E2436C"/>
    <w:rsid w:val="00E367CF"/>
    <w:rsid w:val="00E37F8E"/>
    <w:rsid w:val="00E43D76"/>
    <w:rsid w:val="00E45AB8"/>
    <w:rsid w:val="00E46A83"/>
    <w:rsid w:val="00E64103"/>
    <w:rsid w:val="00E67891"/>
    <w:rsid w:val="00E728F4"/>
    <w:rsid w:val="00E853DF"/>
    <w:rsid w:val="00E91D0F"/>
    <w:rsid w:val="00EA5AE3"/>
    <w:rsid w:val="00EB75A6"/>
    <w:rsid w:val="00EC10D9"/>
    <w:rsid w:val="00EE229F"/>
    <w:rsid w:val="00EF0827"/>
    <w:rsid w:val="00F02A82"/>
    <w:rsid w:val="00F04A08"/>
    <w:rsid w:val="00F5068E"/>
    <w:rsid w:val="00F561E8"/>
    <w:rsid w:val="00F63A3D"/>
    <w:rsid w:val="00F91B93"/>
    <w:rsid w:val="00FA2FAD"/>
    <w:rsid w:val="00FA75B9"/>
    <w:rsid w:val="00FB44F3"/>
    <w:rsid w:val="00FE7E87"/>
    <w:rsid w:val="01050944"/>
    <w:rsid w:val="017E2739"/>
    <w:rsid w:val="0AFE53BA"/>
    <w:rsid w:val="0EF56F8E"/>
    <w:rsid w:val="176F4F02"/>
    <w:rsid w:val="20700ABB"/>
    <w:rsid w:val="24030D44"/>
    <w:rsid w:val="27817E07"/>
    <w:rsid w:val="28BF71F2"/>
    <w:rsid w:val="2CF75313"/>
    <w:rsid w:val="347C6618"/>
    <w:rsid w:val="37310572"/>
    <w:rsid w:val="4B851AD0"/>
    <w:rsid w:val="4DDB31F5"/>
    <w:rsid w:val="4EE43621"/>
    <w:rsid w:val="5664268A"/>
    <w:rsid w:val="5AAE2166"/>
    <w:rsid w:val="632F43F6"/>
    <w:rsid w:val="6C8C7011"/>
    <w:rsid w:val="75BC2652"/>
    <w:rsid w:val="7AE00CFB"/>
    <w:rsid w:val="7C0F7CC8"/>
    <w:rsid w:val="7CE00428"/>
    <w:rsid w:val="7F1F7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1"/>
      <w:lang w:val="en-US" w:eastAsia="zh-CN" w:bidi="ar-SA"/>
    </w:rPr>
  </w:style>
  <w:style w:type="paragraph" w:styleId="2">
    <w:name w:val="heading 2"/>
    <w:basedOn w:val="1"/>
    <w:next w:val="1"/>
    <w:unhideWhenUsed/>
    <w:qFormat/>
    <w:uiPriority w:val="9"/>
    <w:pPr>
      <w:keepNext/>
      <w:keepLines/>
      <w:spacing w:before="260" w:after="260" w:line="415" w:lineRule="auto"/>
      <w:outlineLvl w:val="1"/>
    </w:pPr>
    <w:rPr>
      <w:rFonts w:asciiTheme="majorHAnsi" w:hAnsiTheme="majorHAnsi" w:eastAsiaTheme="majorEastAsia" w:cstheme="majorBidi"/>
      <w:b/>
      <w:sz w:val="32"/>
    </w:rPr>
  </w:style>
  <w:style w:type="paragraph" w:styleId="3">
    <w:name w:val="heading 3"/>
    <w:basedOn w:val="1"/>
    <w:next w:val="1"/>
    <w:semiHidden/>
    <w:unhideWhenUsed/>
    <w:qFormat/>
    <w:uiPriority w:val="9"/>
    <w:pPr>
      <w:keepNext/>
      <w:keepLines/>
      <w:spacing w:before="260" w:after="260" w:line="415" w:lineRule="auto"/>
      <w:outlineLvl w:val="2"/>
    </w:pPr>
    <w:rPr>
      <w:b/>
      <w:sz w:val="32"/>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style>
  <w:style w:type="paragraph" w:styleId="6">
    <w:name w:val="annotation text"/>
    <w:basedOn w:val="1"/>
    <w:qFormat/>
    <w:uiPriority w:val="0"/>
    <w:rPr>
      <w:rFonts w:ascii="Calibri" w:hAnsi="Calibri" w:eastAsia="宋体" w:cs="Calibri"/>
    </w:rPr>
  </w:style>
  <w:style w:type="paragraph" w:styleId="7">
    <w:name w:val="Body Text"/>
    <w:basedOn w:val="1"/>
    <w:qFormat/>
    <w:uiPriority w:val="0"/>
    <w:pPr>
      <w:ind w:left="637"/>
    </w:pPr>
    <w:rPr>
      <w:rFonts w:ascii="宋体" w:hAnsi="宋体" w:eastAsia="宋体" w:cs="宋体"/>
      <w:kern w:val="0"/>
    </w:rPr>
  </w:style>
  <w:style w:type="paragraph" w:styleId="8">
    <w:name w:val="footer"/>
    <w:basedOn w:val="1"/>
    <w:qFormat/>
    <w:uiPriority w:val="0"/>
    <w:rPr>
      <w:sz w:val="18"/>
    </w:rPr>
  </w:style>
  <w:style w:type="paragraph" w:styleId="9">
    <w:name w:val="header"/>
    <w:basedOn w:val="1"/>
    <w:qFormat/>
    <w:uiPriority w:val="0"/>
    <w:pPr>
      <w:pBdr>
        <w:bottom w:val="single" w:color="000000" w:sz="6" w:space="1"/>
      </w:pBdr>
      <w:jc w:val="center"/>
    </w:pPr>
    <w:rPr>
      <w:sz w:val="18"/>
    </w:rPr>
  </w:style>
  <w:style w:type="paragraph" w:styleId="10">
    <w:name w:val="Normal (Web)"/>
    <w:basedOn w:val="1"/>
    <w:semiHidden/>
    <w:unhideWhenUsed/>
    <w:qFormat/>
    <w:uiPriority w:val="99"/>
    <w:rPr>
      <w:sz w:val="24"/>
    </w:rPr>
  </w:style>
  <w:style w:type="paragraph" w:styleId="11">
    <w:name w:val="Title"/>
    <w:basedOn w:val="1"/>
    <w:next w:val="1"/>
    <w:link w:val="34"/>
    <w:qFormat/>
    <w:uiPriority w:val="10"/>
    <w:pPr>
      <w:spacing w:before="240" w:after="60"/>
      <w:jc w:val="center"/>
      <w:outlineLvl w:val="0"/>
    </w:pPr>
    <w:rPr>
      <w:rFonts w:asciiTheme="majorHAnsi" w:hAnsiTheme="majorHAnsi" w:eastAsiaTheme="majorEastAsia" w:cstheme="majorBidi"/>
      <w:b/>
      <w:bCs/>
      <w:sz w:val="32"/>
      <w:szCs w:val="32"/>
    </w:rPr>
  </w:style>
  <w:style w:type="paragraph" w:styleId="12">
    <w:name w:val="Body Text First Indent"/>
    <w:basedOn w:val="7"/>
    <w:qFormat/>
    <w:uiPriority w:val="0"/>
    <w:pPr>
      <w:ind w:firstLine="420" w:firstLineChars="100"/>
    </w:pPr>
  </w:style>
  <w:style w:type="table" w:styleId="14">
    <w:name w:val="Table Grid"/>
    <w:basedOn w:val="13"/>
    <w:autoRedefine/>
    <w:qFormat/>
    <w:uiPriority w:val="0"/>
    <w:pPr>
      <w:widowControl w:val="0"/>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Strong"/>
    <w:basedOn w:val="15"/>
    <w:qFormat/>
    <w:uiPriority w:val="0"/>
    <w:rPr>
      <w:b/>
    </w:rPr>
  </w:style>
  <w:style w:type="character" w:styleId="17">
    <w:name w:val="annotation reference"/>
    <w:basedOn w:val="15"/>
    <w:qFormat/>
    <w:uiPriority w:val="0"/>
    <w:rPr>
      <w:sz w:val="21"/>
    </w:rPr>
  </w:style>
  <w:style w:type="character" w:customStyle="1" w:styleId="18">
    <w:name w:val="标题 3 字符"/>
    <w:basedOn w:val="15"/>
    <w:autoRedefine/>
    <w:qFormat/>
    <w:uiPriority w:val="0"/>
    <w:rPr>
      <w:b/>
      <w:kern w:val="2"/>
      <w:sz w:val="32"/>
    </w:rPr>
  </w:style>
  <w:style w:type="character" w:customStyle="1" w:styleId="19">
    <w:name w:val="标题 4 字符"/>
    <w:basedOn w:val="15"/>
    <w:autoRedefine/>
    <w:qFormat/>
    <w:uiPriority w:val="0"/>
    <w:rPr>
      <w:rFonts w:asciiTheme="majorHAnsi" w:hAnsiTheme="majorHAnsi" w:eastAsiaTheme="majorEastAsia" w:cstheme="majorBidi"/>
      <w:b/>
      <w:kern w:val="2"/>
      <w:sz w:val="28"/>
    </w:rPr>
  </w:style>
  <w:style w:type="character" w:customStyle="1" w:styleId="20">
    <w:name w:val="正文文本 字符"/>
    <w:basedOn w:val="15"/>
    <w:qFormat/>
    <w:uiPriority w:val="0"/>
    <w:rPr>
      <w:rFonts w:ascii="宋体" w:hAnsi="宋体" w:eastAsia="宋体" w:cs="宋体"/>
      <w:sz w:val="21"/>
    </w:rPr>
  </w:style>
  <w:style w:type="paragraph" w:customStyle="1" w:styleId="21">
    <w:name w:val="正文缩进_0"/>
    <w:basedOn w:val="22"/>
    <w:autoRedefine/>
    <w:qFormat/>
    <w:uiPriority w:val="0"/>
    <w:pPr>
      <w:ind w:firstLine="420"/>
    </w:pPr>
    <w:rPr>
      <w:rFonts w:ascii="Times New Roman" w:hAnsi="Times New Roman"/>
      <w:kern w:val="0"/>
    </w:rPr>
  </w:style>
  <w:style w:type="paragraph" w:customStyle="1" w:styleId="22">
    <w:name w:val="正文_1"/>
    <w:autoRedefine/>
    <w:qFormat/>
    <w:uiPriority w:val="0"/>
    <w:pPr>
      <w:widowControl w:val="0"/>
    </w:pPr>
    <w:rPr>
      <w:rFonts w:ascii="Calibri" w:hAnsi="Calibri" w:eastAsiaTheme="minorEastAsia" w:cstheme="minorBidi"/>
      <w:kern w:val="2"/>
      <w:sz w:val="21"/>
      <w:lang w:val="en-US" w:eastAsia="zh-CN" w:bidi="ar-SA"/>
    </w:rPr>
  </w:style>
  <w:style w:type="character" w:customStyle="1" w:styleId="23">
    <w:name w:val="批注文字 字符1"/>
    <w:autoRedefine/>
    <w:qFormat/>
    <w:uiPriority w:val="0"/>
    <w:rPr>
      <w:rFonts w:ascii="Calibri" w:hAnsi="Calibri" w:eastAsia="宋体" w:cs="Calibri"/>
      <w:kern w:val="2"/>
      <w:sz w:val="21"/>
    </w:rPr>
  </w:style>
  <w:style w:type="paragraph" w:customStyle="1" w:styleId="24">
    <w:name w:val="列出段落1"/>
    <w:basedOn w:val="1"/>
    <w:autoRedefine/>
    <w:qFormat/>
    <w:uiPriority w:val="0"/>
    <w:pPr>
      <w:ind w:firstLine="420" w:firstLineChars="200"/>
    </w:pPr>
    <w:rPr>
      <w:rFonts w:ascii="Times New Roman" w:hAnsi="Times New Roman" w:eastAsia="宋体" w:cs="Times New Roman"/>
    </w:rPr>
  </w:style>
  <w:style w:type="character" w:customStyle="1" w:styleId="25">
    <w:name w:val="正文缩进 Char_0"/>
    <w:autoRedefine/>
    <w:qFormat/>
    <w:uiPriority w:val="0"/>
    <w:rPr>
      <w:rFonts w:ascii="Times New Roman" w:hAnsi="Times New Roman" w:eastAsia="宋体" w:cs="Times New Roman"/>
      <w:sz w:val="21"/>
    </w:rPr>
  </w:style>
  <w:style w:type="character" w:customStyle="1" w:styleId="26">
    <w:name w:val="页脚 字符"/>
    <w:basedOn w:val="15"/>
    <w:qFormat/>
    <w:uiPriority w:val="0"/>
    <w:rPr>
      <w:kern w:val="2"/>
      <w:sz w:val="18"/>
    </w:rPr>
  </w:style>
  <w:style w:type="character" w:customStyle="1" w:styleId="27">
    <w:name w:val="页眉 字符"/>
    <w:basedOn w:val="15"/>
    <w:autoRedefine/>
    <w:qFormat/>
    <w:uiPriority w:val="0"/>
    <w:rPr>
      <w:kern w:val="2"/>
      <w:sz w:val="18"/>
    </w:rPr>
  </w:style>
  <w:style w:type="paragraph" w:styleId="28">
    <w:name w:val="List Paragraph"/>
    <w:basedOn w:val="1"/>
    <w:qFormat/>
    <w:uiPriority w:val="0"/>
    <w:pPr>
      <w:ind w:firstLine="420" w:firstLineChars="200"/>
    </w:pPr>
  </w:style>
  <w:style w:type="character" w:customStyle="1" w:styleId="29">
    <w:name w:val="列表段落 字符"/>
    <w:autoRedefine/>
    <w:qFormat/>
    <w:uiPriority w:val="0"/>
    <w:rPr>
      <w:kern w:val="2"/>
      <w:sz w:val="21"/>
    </w:rPr>
  </w:style>
  <w:style w:type="character" w:customStyle="1" w:styleId="30">
    <w:name w:val="批注文字 字符"/>
    <w:basedOn w:val="15"/>
    <w:autoRedefine/>
    <w:qFormat/>
    <w:uiPriority w:val="0"/>
    <w:rPr>
      <w:kern w:val="2"/>
      <w:sz w:val="21"/>
    </w:rPr>
  </w:style>
  <w:style w:type="paragraph" w:customStyle="1" w:styleId="31">
    <w:name w:val="监测指标、参考指标"/>
    <w:basedOn w:val="1"/>
    <w:qFormat/>
    <w:uiPriority w:val="0"/>
    <w:pPr>
      <w:outlineLvl w:val="1"/>
    </w:pPr>
    <w:rPr>
      <w:rFonts w:eastAsia="仿宋_GB2312"/>
      <w:b/>
      <w:sz w:val="28"/>
      <w:szCs w:val="28"/>
    </w:rPr>
  </w:style>
  <w:style w:type="paragraph" w:customStyle="1" w:styleId="32">
    <w:name w:val="各章标题（方案）"/>
    <w:basedOn w:val="11"/>
    <w:next w:val="1"/>
    <w:link w:val="33"/>
    <w:autoRedefine/>
    <w:qFormat/>
    <w:uiPriority w:val="0"/>
    <w:pPr>
      <w:numPr>
        <w:ilvl w:val="0"/>
        <w:numId w:val="1"/>
      </w:numPr>
      <w:spacing w:before="480" w:after="360"/>
    </w:pPr>
    <w:rPr>
      <w:rFonts w:ascii="黑体" w:hAnsi="黑体" w:eastAsia="黑体"/>
    </w:rPr>
  </w:style>
  <w:style w:type="character" w:customStyle="1" w:styleId="33">
    <w:name w:val="各章标题（方案） 字符"/>
    <w:basedOn w:val="34"/>
    <w:link w:val="32"/>
    <w:qFormat/>
    <w:uiPriority w:val="0"/>
    <w:rPr>
      <w:rFonts w:ascii="黑体" w:hAnsi="黑体" w:eastAsia="黑体" w:cstheme="majorBidi"/>
      <w:kern w:val="2"/>
      <w:sz w:val="32"/>
      <w:szCs w:val="32"/>
    </w:rPr>
  </w:style>
  <w:style w:type="character" w:customStyle="1" w:styleId="34">
    <w:name w:val="标题 字符"/>
    <w:basedOn w:val="15"/>
    <w:link w:val="11"/>
    <w:qFormat/>
    <w:uiPriority w:val="10"/>
    <w:rPr>
      <w:rFonts w:asciiTheme="majorHAnsi" w:hAnsiTheme="majorHAnsi" w:eastAsiaTheme="majorEastAsia" w:cstheme="majorBidi"/>
      <w:b/>
      <w:bCs/>
      <w:kern w:val="2"/>
      <w:sz w:val="32"/>
      <w:szCs w:val="32"/>
    </w:rPr>
  </w:style>
  <w:style w:type="paragraph" w:customStyle="1" w:styleId="35">
    <w:name w:val="Revision"/>
    <w:hidden/>
    <w:unhideWhenUsed/>
    <w:qFormat/>
    <w:uiPriority w:val="99"/>
    <w:rPr>
      <w:rFonts w:asciiTheme="minorHAnsi" w:hAnsiTheme="minorHAnsi" w:eastAsiaTheme="minorEastAsia" w:cstheme="minorBidi"/>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6144</Words>
  <Characters>6425</Characters>
  <Lines>1</Lines>
  <Paragraphs>1</Paragraphs>
  <TotalTime>127</TotalTime>
  <ScaleCrop>false</ScaleCrop>
  <LinksUpToDate>false</LinksUpToDate>
  <CharactersWithSpaces>6467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2023-05-31T00:58:00Z</dcterms:created>
  <dc:creator>DingTalk</dc:creator>
  <dc:description>DingTalk Document</dc:description>
  <cp:lastModifiedBy>Tosm</cp:lastModifiedBy>
  <dcterms:modified xsi:type="dcterms:W3CDTF">2026-06-25T02:21:18Z</dcterms:modified>
  <cp:revision>213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1770823E022849BDB16ECC5BC17F5D6B_13</vt:lpwstr>
  </property>
  <property fmtid="{D5CDD505-2E9C-101B-9397-08002B2CF9AE}" pid="4" name="KSOTemplateDocerSaveRecord">
    <vt:lpwstr>eyJoZGlkIjoiN2I0MmQ3MDdiNzU0NWNhMmUzOTA2Y2NjYWM3OThmNWMiLCJ1c2VySWQiOiIzNjkyOTczNDMifQ==</vt:lpwstr>
  </property>
</Properties>
</file>