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5417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信息化项目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咨询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论证用户需求书</w:t>
      </w:r>
    </w:p>
    <w:p w14:paraId="4CCBE0D4">
      <w:pPr>
        <w:pStyle w:val="2"/>
        <w:ind w:firstLine="210"/>
        <w:rPr>
          <w:rFonts w:hint="eastAsia"/>
        </w:rPr>
      </w:pPr>
    </w:p>
    <w:p w14:paraId="447D0333">
      <w:pPr>
        <w:pStyle w:val="31"/>
        <w:rPr>
          <w:rFonts w:hint="eastAsia"/>
        </w:rPr>
      </w:pPr>
      <w:r>
        <w:rPr>
          <w:rFonts w:hint="eastAsia"/>
        </w:rPr>
        <w:t>项目背景</w:t>
      </w:r>
    </w:p>
    <w:p w14:paraId="0940B638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随着医院信息化建设的不断深入，电子病历、LIS、PACS 等核心业务系统已全面渗透至门诊、住院、检验、影像等各个诊疗环节，电脑终端作为医护人员开展工作的关键工具，其运行稳定性直接关系到医疗服务效率与患者就医体验。当前，我院在用电脑终端数量已达 [X] 台，覆盖临床科室、医技科室、行政后勤等多个部门。​</w:t>
      </w:r>
    </w:p>
    <w:p w14:paraId="6C64F86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期使用过程中，终端系统逐渐暴露出运行卡慢、响应迟缓等突出问题。经排查，主要原因包括：一是医护人员日常工作中需频繁安装专业医疗软件、插件，部分软件与系统存在兼容性问题，且易残留冗余文件，导致系统注册表臃肿；二是终端使用人员众多，操作习惯各异，部分非授权软件、恶意插件通过 U 盘等移动设备侵入系统，占用大量系统资源；三是系统长期运行未进行有效清理，缓存文件、临时文件不断累积，磁盘空间占用率持续攀升，严重影响系统运行效率。​</w:t>
      </w:r>
    </w:p>
    <w:p w14:paraId="15D5916A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述问题不仅降低了医护人员的工作效率，如开具处方、调取检查报告等操作响应延迟，甚至可能在紧急诊疗场景下影响医疗服务的及时性。为彻底解决终端运行卡慢问题，保障医院信息系统稳定、高效运行，我院拟实施电脑终端重启自动还原操作系统项目，通过技术手段实现终端系统在重启后自动恢复至预设的纯净状态，从根源上杜绝系统冗余、恶意软件干扰等问题，为医疗业务开展提供可靠的终端支撑。</w:t>
      </w:r>
    </w:p>
    <w:p w14:paraId="0AF0A1BC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C79537B">
      <w:pPr>
        <w:rPr>
          <w:rFonts w:hint="eastAsia" w:ascii="仿宋" w:hAnsi="仿宋" w:eastAsia="仿宋" w:cs="仿宋"/>
        </w:rPr>
      </w:pPr>
    </w:p>
    <w:p w14:paraId="2CA938D0">
      <w:pPr>
        <w:pStyle w:val="2"/>
        <w:rPr>
          <w:rFonts w:hint="eastAsia"/>
        </w:rPr>
      </w:pPr>
      <w:bookmarkStart w:id="0" w:name="_GoBack"/>
      <w:bookmarkEnd w:id="0"/>
    </w:p>
    <w:p w14:paraId="658479A3">
      <w:pPr>
        <w:pStyle w:val="31"/>
        <w:rPr>
          <w:rFonts w:hint="eastAsia"/>
        </w:rPr>
      </w:pPr>
      <w:r>
        <w:rPr>
          <w:rFonts w:hint="eastAsia"/>
        </w:rPr>
        <w:t>项目建设清单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010"/>
        <w:gridCol w:w="5655"/>
      </w:tblGrid>
      <w:tr w14:paraId="5AF4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263B47E5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</w:tcPr>
          <w:p w14:paraId="2F10D7C2">
            <w:pPr>
              <w:spacing w:before="68" w:line="360" w:lineRule="auto"/>
              <w:ind w:right="115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5655" w:type="dxa"/>
          </w:tcPr>
          <w:p w14:paraId="596A8B34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需求说明</w:t>
            </w:r>
          </w:p>
        </w:tc>
      </w:tr>
      <w:tr w14:paraId="0CEE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</w:tcPr>
          <w:p w14:paraId="39AC821E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1F72E8E4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473D299E">
            <w:pPr>
              <w:spacing w:before="68" w:line="360" w:lineRule="auto"/>
              <w:ind w:right="115" w:firstLine="232" w:firstLineChars="100"/>
              <w:jc w:val="both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E34C67B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57429745">
            <w:pPr>
              <w:spacing w:before="68" w:line="360" w:lineRule="auto"/>
              <w:ind w:right="115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系统软件类</w:t>
            </w:r>
          </w:p>
        </w:tc>
        <w:tc>
          <w:tcPr>
            <w:tcW w:w="5655" w:type="dxa"/>
          </w:tcPr>
          <w:p w14:paraId="6C8A2A9C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终端重启自动还原软件：[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]套，需支持 Windows 7/10/11等主流操作系统，具备分区还原、全盘还原等多种还原模式，且还原速度快，不影响终端正常启动时间。</w:t>
            </w:r>
          </w:p>
        </w:tc>
      </w:tr>
      <w:tr w14:paraId="30A2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164A7EAB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43B3EE21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7219C15F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软件授权许可：[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]套，与自动还原软件配套，确保软件合法合规使用。</w:t>
            </w:r>
          </w:p>
        </w:tc>
      </w:tr>
      <w:tr w14:paraId="7EF8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</w:tcPr>
          <w:p w14:paraId="0B0B3F13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2E4D35C7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4106C2DB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6512CFFC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6BA25F10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  <w:vMerge w:val="restart"/>
            <w:vAlign w:val="center"/>
          </w:tcPr>
          <w:p w14:paraId="49881666">
            <w:pPr>
              <w:spacing w:before="68" w:line="360" w:lineRule="auto"/>
              <w:ind w:right="115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硬件设备类</w:t>
            </w:r>
          </w:p>
        </w:tc>
        <w:tc>
          <w:tcPr>
            <w:tcW w:w="5655" w:type="dxa"/>
          </w:tcPr>
          <w:p w14:paraId="382EA5FC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系统服务器：[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]台，用于部署还原软件管理平台，实现对所有终端的集中管控，配置 CPU≥Intel Xeon Gold 5218，内存≥32GB，硬盘≥2TB SSD，支持 RAID 1 冗余。</w:t>
            </w:r>
          </w:p>
        </w:tc>
      </w:tr>
      <w:tr w14:paraId="542B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05DCA6B8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189DCB32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1538AF13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终端还原卡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：[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块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，支持 PCI-E 接口，兼容 Windows 7/10/11 等操作系统，具备全盘 / 分区还原、断点续存功能，还原速度≤3 秒/GB，缓存容量≥128MB。</w:t>
            </w:r>
          </w:p>
        </w:tc>
      </w:tr>
      <w:tr w14:paraId="4253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3A6A78B1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783FFAF8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30F4FFC2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还原卡管理工具：[1]套，与还原卡配套，支持本地及远程配置还原参数。</w:t>
            </w:r>
          </w:p>
        </w:tc>
      </w:tr>
      <w:tr w14:paraId="2BE6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</w:tcPr>
          <w:p w14:paraId="0B833D05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1826D970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3A757B05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303A6AEB">
            <w:pPr>
              <w:spacing w:before="68" w:line="360" w:lineRule="auto"/>
              <w:ind w:right="115"/>
              <w:jc w:val="both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  <w:p w14:paraId="02899FC5">
            <w:pPr>
              <w:spacing w:before="68" w:line="360" w:lineRule="auto"/>
              <w:ind w:right="115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  <w:vMerge w:val="restart"/>
            <w:vAlign w:val="center"/>
          </w:tcPr>
          <w:p w14:paraId="15FDC19C">
            <w:pPr>
              <w:spacing w:before="68" w:line="360" w:lineRule="auto"/>
              <w:ind w:right="115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服务支持类</w:t>
            </w:r>
          </w:p>
        </w:tc>
        <w:tc>
          <w:tcPr>
            <w:tcW w:w="5655" w:type="dxa"/>
          </w:tcPr>
          <w:p w14:paraId="19524279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软件安装部署服务：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[1]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项，负责完成所有终端还原软件及管理平台的安装、调试工作。</w:t>
            </w:r>
          </w:p>
        </w:tc>
      </w:tr>
      <w:tr w14:paraId="6A90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4D47F45A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4F566274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01823067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定制化配置服务：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[1]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项，根据各科室终端使用场景，个性化配置还原分区、保留分区、还原触发条件等参数。</w:t>
            </w:r>
          </w:p>
        </w:tc>
      </w:tr>
      <w:tr w14:paraId="271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4452981A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2AA589DE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48D26372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还原卡安装调试服务：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[1]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项，负责拆机安装还原卡、驱动配置及功能测试。</w:t>
            </w:r>
          </w:p>
        </w:tc>
      </w:tr>
      <w:tr w14:paraId="46FC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682EE9F4">
            <w:pPr>
              <w:spacing w:before="68" w:line="360" w:lineRule="auto"/>
              <w:ind w:right="115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1F6DBDE8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7BF30337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技术培训服务：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[1]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项，为医院信息科技术人员及各科室终端使用骨干提供软件操作、日常维护、安装维护、故障排查等培训。</w:t>
            </w:r>
          </w:p>
        </w:tc>
      </w:tr>
      <w:tr w14:paraId="7BCA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</w:tcPr>
          <w:p w14:paraId="0B6AC36C">
            <w:pPr>
              <w:spacing w:before="68" w:line="360" w:lineRule="auto"/>
              <w:ind w:right="115"/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 w14:paraId="5A7524DE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</w:p>
        </w:tc>
        <w:tc>
          <w:tcPr>
            <w:tcW w:w="5655" w:type="dxa"/>
          </w:tcPr>
          <w:p w14:paraId="5A65F7A2">
            <w:pPr>
              <w:spacing w:before="68" w:line="360" w:lineRule="auto"/>
              <w:ind w:right="115"/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售后服务：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  <w:lang w:val="en-US" w:eastAsia="zh-CN"/>
              </w:rPr>
              <w:t>[1]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vertAlign w:val="baseline"/>
              </w:rPr>
              <w:t>项，提供至少3年的免费技术支持，包括 7×24小时远程故障响应，48小时内现场服务，以及软件升级更新服务。</w:t>
            </w:r>
          </w:p>
        </w:tc>
      </w:tr>
    </w:tbl>
    <w:p w14:paraId="61C8EFE3">
      <w:pPr>
        <w:spacing w:before="68" w:line="360" w:lineRule="auto"/>
        <w:ind w:right="115"/>
        <w:rPr>
          <w:rFonts w:hint="eastAsia" w:ascii="仿宋" w:hAnsi="仿宋" w:eastAsia="仿宋" w:cs="仿宋"/>
          <w:spacing w:val="-4"/>
          <w:sz w:val="24"/>
          <w:szCs w:val="24"/>
        </w:rPr>
      </w:pPr>
    </w:p>
    <w:p w14:paraId="4B41E253">
      <w:pPr>
        <w:pStyle w:val="31"/>
        <w:rPr>
          <w:rFonts w:hint="eastAsia"/>
        </w:rPr>
      </w:pPr>
      <w:r>
        <w:rPr>
          <w:rFonts w:hint="eastAsia"/>
        </w:rPr>
        <w:t>项目建设内容</w:t>
      </w:r>
    </w:p>
    <w:p w14:paraId="68AD874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3.1前期调研与方案设计​</w:t>
      </w:r>
    </w:p>
    <w:p w14:paraId="78F5123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全面终端现状调研，组建专项调研小组，对全院1500台电脑终端的型号、配置、操作系统版本、运行状态、安装的医疗专业软件种类及使用频率、科室业务流程等进行逐一排查与登记，形成终端现状调研报告，明确各终端的个性化需求与适配难点。​</w:t>
      </w:r>
    </w:p>
    <w:p w14:paraId="486CBD0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调研结果，从成本投入、部署难度、运维复杂度、与医疗系统兼容性等维度对比三种方案。例如：还原卡方案适用于老旧终端及对稳定性要求极高的科室（如手术室）；域控制方案适用于终端数量多、集中管理需求强的综合医院；纯软件方案适用于硬件配置较新、需灵活调整还原策略的场景。最终经医院信息中心研究讨论决定实施哪种方案。</w:t>
      </w:r>
    </w:p>
    <w:p w14:paraId="740414AE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联合软件供应商进行方案设计，确定还原软件的部署架构（如 C/S 架构），明确管理平台的部署位置与网络拓扑结构，针对不同科室特点设计差异化的还原策略，例如：对门诊收费终端采用全盘还原模式，重启后清除所有操作痕迹；对医生工作站终端采用分区还原模式，保留指定分区内的医疗文档数据，仅还原系统分区。​</w:t>
      </w:r>
    </w:p>
    <w:p w14:paraId="3BF96F33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3.2软硬件采购与部署实施​</w:t>
      </w:r>
    </w:p>
    <w:p w14:paraId="3E5E4994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根据建设清单完成软硬件采购工作，严格按照医院采购管理制度执行，确保采购的软硬件质量合格、资质齐全，且符合项目设计要求。</w:t>
      </w:r>
    </w:p>
    <w:p w14:paraId="294D2895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搭建还原软件管理平台，在指定的系统服务器上安装部署管理平台软件，进行网络配置、用户权限设置、终端分组管理等初始化操作，实现对全院终端的集中管控与状态监控。​</w:t>
      </w:r>
    </w:p>
    <w:p w14:paraId="65F71B7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推进终端软件安装与配置，按照先试点后推广的原则，首先在信息科、门诊试点科室等 [10] 台终端上安装自动还原软件，根据预设方案配置还原参数，并进行为期 [30] 天的试运行，收集运行数据与使用反馈，优化调整配置方案。试点成功后，逐步在全院各科室终端完成软件安装与配置工作。​</w:t>
      </w:r>
    </w:p>
    <w:p w14:paraId="524D801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3.3系统测试与优化调整​</w:t>
      </w:r>
    </w:p>
    <w:p w14:paraId="1094007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全面系统测试，包括功能测试、性能测试、兼容性测试与稳定性测试。功能测试重点验证还原触发、还原速度、分区管理等核心功能是否正常；性能测试检测软件运行对终端开机速度、软件启动速度、业务系统响应速度的影响；兼容性测试确保还原软件与电子病历、LIS、PACS 等核心医疗系统及各类专业插件兼容；稳定性测试持续运行[30]天，观察系统是否出现崩溃、还原失效等问题。​</w:t>
      </w:r>
    </w:p>
    <w:p w14:paraId="52DE9D48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测试结果进行优化调整，对存在的兼容性问题协调软件供应商进行版本升级或补丁开发；对还原速度较慢的终端优化配置参数或升级硬件；对权限分配不合理的情况调整管理平台权限设置，确保系统满足各科室业务需求。​</w:t>
      </w:r>
    </w:p>
    <w:p w14:paraId="444BA0BE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3.4培训与售后服务保障​</w:t>
      </w:r>
    </w:p>
    <w:p w14:paraId="229EBAF5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开展技术培训，分批次对信息科技术人员进行管理平台操作、系统维护、故障排查等深度培训，使其具备独立开展日常运维工作的能力；对各科室终端使用骨干进行基础操作培训，包括还原功能触发、保留分区使用等，减少误操作风险。培训结束后组织考核，确保培训效果。​</w:t>
      </w:r>
    </w:p>
    <w:p w14:paraId="4C304AF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建立完善的售后服务体系，与供应商签订详细的售后服务协议，明确服务内容、响应时间与解决时限。搭建售后服务沟通渠道，通过电话、邮件、远程协助等方式提供 7×24 小时技术支持；定期安排技术人员上门巡检，及时发现并解决潜在问题；根据软件发展与医院需求变化，提供免费的软件升级服务，保障系统长期稳定运行。​</w:t>
      </w:r>
    </w:p>
    <w:p w14:paraId="39946497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3E7788">
      <w:pPr>
        <w:pStyle w:val="31"/>
        <w:rPr>
          <w:rFonts w:hint="eastAsia"/>
        </w:rPr>
      </w:pPr>
      <w:r>
        <w:rPr>
          <w:rFonts w:hint="eastAsia"/>
        </w:rPr>
        <w:t>项目预算说明</w:t>
      </w:r>
    </w:p>
    <w:p w14:paraId="7A6173A3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根据建设内容给出项目申请预算表或给出市场询价报告(不限于其他医院类似项目的合同价，相关网站类似项目中标价或咨询相关厂家报价)。</w:t>
      </w:r>
    </w:p>
    <w:p w14:paraId="038A825E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B2"/>
    <w:multiLevelType w:val="multilevel"/>
    <w:tmpl w:val="449664B2"/>
    <w:lvl w:ilvl="0" w:tentative="0">
      <w:start w:val="1"/>
      <w:numFmt w:val="chineseCountingThousand"/>
      <w:pStyle w:val="31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NDgxN2MyZGQxMWZlOWEwNjNmNWY4NTkwMjg5NjgifQ=="/>
  </w:docVars>
  <w:rsids>
    <w:rsidRoot w:val="00D67FAC"/>
    <w:rsid w:val="00003119"/>
    <w:rsid w:val="00021E12"/>
    <w:rsid w:val="00046A21"/>
    <w:rsid w:val="000565A6"/>
    <w:rsid w:val="000918D8"/>
    <w:rsid w:val="0009294F"/>
    <w:rsid w:val="000D33F9"/>
    <w:rsid w:val="000D5EFD"/>
    <w:rsid w:val="000F2D3A"/>
    <w:rsid w:val="000F67EF"/>
    <w:rsid w:val="00102CF8"/>
    <w:rsid w:val="00122E11"/>
    <w:rsid w:val="001454C2"/>
    <w:rsid w:val="00164B03"/>
    <w:rsid w:val="00192D51"/>
    <w:rsid w:val="001A1B31"/>
    <w:rsid w:val="001A2B04"/>
    <w:rsid w:val="001A2FAB"/>
    <w:rsid w:val="001A30FF"/>
    <w:rsid w:val="001A3D94"/>
    <w:rsid w:val="001B4025"/>
    <w:rsid w:val="00201953"/>
    <w:rsid w:val="00201AC6"/>
    <w:rsid w:val="0022242C"/>
    <w:rsid w:val="002233BD"/>
    <w:rsid w:val="0022445E"/>
    <w:rsid w:val="00245AF8"/>
    <w:rsid w:val="00264B20"/>
    <w:rsid w:val="002714DB"/>
    <w:rsid w:val="0027199D"/>
    <w:rsid w:val="00271F48"/>
    <w:rsid w:val="00285FA4"/>
    <w:rsid w:val="002B2C33"/>
    <w:rsid w:val="002C6D6C"/>
    <w:rsid w:val="002E0BB1"/>
    <w:rsid w:val="002E18A3"/>
    <w:rsid w:val="002E2F50"/>
    <w:rsid w:val="002E6044"/>
    <w:rsid w:val="00350E52"/>
    <w:rsid w:val="003524F1"/>
    <w:rsid w:val="003578E6"/>
    <w:rsid w:val="00375A16"/>
    <w:rsid w:val="003930B0"/>
    <w:rsid w:val="003D53E2"/>
    <w:rsid w:val="003E032A"/>
    <w:rsid w:val="003F51B3"/>
    <w:rsid w:val="0041372B"/>
    <w:rsid w:val="00414654"/>
    <w:rsid w:val="00415B9A"/>
    <w:rsid w:val="004300D2"/>
    <w:rsid w:val="004346BA"/>
    <w:rsid w:val="00440F6B"/>
    <w:rsid w:val="00441FBC"/>
    <w:rsid w:val="00443998"/>
    <w:rsid w:val="0045183B"/>
    <w:rsid w:val="00453518"/>
    <w:rsid w:val="00457597"/>
    <w:rsid w:val="004612DE"/>
    <w:rsid w:val="004C3389"/>
    <w:rsid w:val="004E50F9"/>
    <w:rsid w:val="004F5CDC"/>
    <w:rsid w:val="00521F58"/>
    <w:rsid w:val="0052608C"/>
    <w:rsid w:val="005313F2"/>
    <w:rsid w:val="00573940"/>
    <w:rsid w:val="00576A94"/>
    <w:rsid w:val="00585497"/>
    <w:rsid w:val="00593D40"/>
    <w:rsid w:val="005961B3"/>
    <w:rsid w:val="005A6509"/>
    <w:rsid w:val="005B0A1E"/>
    <w:rsid w:val="005B790D"/>
    <w:rsid w:val="005C3252"/>
    <w:rsid w:val="005E5177"/>
    <w:rsid w:val="00612624"/>
    <w:rsid w:val="00613F88"/>
    <w:rsid w:val="0062252D"/>
    <w:rsid w:val="00625FDE"/>
    <w:rsid w:val="00634743"/>
    <w:rsid w:val="006426F1"/>
    <w:rsid w:val="00644919"/>
    <w:rsid w:val="00650FEE"/>
    <w:rsid w:val="00654F2C"/>
    <w:rsid w:val="00656060"/>
    <w:rsid w:val="00657569"/>
    <w:rsid w:val="00662DD1"/>
    <w:rsid w:val="006744F4"/>
    <w:rsid w:val="00693430"/>
    <w:rsid w:val="006C723D"/>
    <w:rsid w:val="006D4096"/>
    <w:rsid w:val="007068DC"/>
    <w:rsid w:val="007203E7"/>
    <w:rsid w:val="00731190"/>
    <w:rsid w:val="007354E1"/>
    <w:rsid w:val="00745220"/>
    <w:rsid w:val="00747424"/>
    <w:rsid w:val="007669A5"/>
    <w:rsid w:val="00774264"/>
    <w:rsid w:val="007946EE"/>
    <w:rsid w:val="007A731B"/>
    <w:rsid w:val="007B0268"/>
    <w:rsid w:val="007B428F"/>
    <w:rsid w:val="007C1B60"/>
    <w:rsid w:val="007E10C3"/>
    <w:rsid w:val="007F79DF"/>
    <w:rsid w:val="0080411A"/>
    <w:rsid w:val="008107BD"/>
    <w:rsid w:val="00814163"/>
    <w:rsid w:val="008203E2"/>
    <w:rsid w:val="00827D8A"/>
    <w:rsid w:val="00836E17"/>
    <w:rsid w:val="008402BD"/>
    <w:rsid w:val="0085137E"/>
    <w:rsid w:val="008647B0"/>
    <w:rsid w:val="008734FC"/>
    <w:rsid w:val="008767D1"/>
    <w:rsid w:val="008856B2"/>
    <w:rsid w:val="008A5BA3"/>
    <w:rsid w:val="008B27D9"/>
    <w:rsid w:val="008B43E7"/>
    <w:rsid w:val="008C788B"/>
    <w:rsid w:val="008D03B9"/>
    <w:rsid w:val="008F152D"/>
    <w:rsid w:val="008F7A0A"/>
    <w:rsid w:val="00913711"/>
    <w:rsid w:val="00953FF8"/>
    <w:rsid w:val="0095525E"/>
    <w:rsid w:val="00963E7D"/>
    <w:rsid w:val="00970F4F"/>
    <w:rsid w:val="0097796D"/>
    <w:rsid w:val="00992DBF"/>
    <w:rsid w:val="009965C7"/>
    <w:rsid w:val="009C6EE3"/>
    <w:rsid w:val="009D0E57"/>
    <w:rsid w:val="009E0DBB"/>
    <w:rsid w:val="009E408F"/>
    <w:rsid w:val="009F0664"/>
    <w:rsid w:val="00A11C02"/>
    <w:rsid w:val="00A201CF"/>
    <w:rsid w:val="00A31F00"/>
    <w:rsid w:val="00A34F5A"/>
    <w:rsid w:val="00A4510D"/>
    <w:rsid w:val="00A526C5"/>
    <w:rsid w:val="00A81247"/>
    <w:rsid w:val="00A817F6"/>
    <w:rsid w:val="00AA28FD"/>
    <w:rsid w:val="00AA6765"/>
    <w:rsid w:val="00AB7704"/>
    <w:rsid w:val="00AC195A"/>
    <w:rsid w:val="00AD2D97"/>
    <w:rsid w:val="00AD76E5"/>
    <w:rsid w:val="00AE450C"/>
    <w:rsid w:val="00AE5D4B"/>
    <w:rsid w:val="00B0439A"/>
    <w:rsid w:val="00B155C5"/>
    <w:rsid w:val="00B16332"/>
    <w:rsid w:val="00B25375"/>
    <w:rsid w:val="00B52A9E"/>
    <w:rsid w:val="00B52C9C"/>
    <w:rsid w:val="00B827FD"/>
    <w:rsid w:val="00BA03BD"/>
    <w:rsid w:val="00BA6BD2"/>
    <w:rsid w:val="00BD7C4B"/>
    <w:rsid w:val="00BE1693"/>
    <w:rsid w:val="00BF2657"/>
    <w:rsid w:val="00C0300F"/>
    <w:rsid w:val="00C127C9"/>
    <w:rsid w:val="00C229F9"/>
    <w:rsid w:val="00C31E1F"/>
    <w:rsid w:val="00C40014"/>
    <w:rsid w:val="00C42675"/>
    <w:rsid w:val="00C54C73"/>
    <w:rsid w:val="00C5634E"/>
    <w:rsid w:val="00C6499D"/>
    <w:rsid w:val="00C86843"/>
    <w:rsid w:val="00C93DF9"/>
    <w:rsid w:val="00C93F4C"/>
    <w:rsid w:val="00C96E71"/>
    <w:rsid w:val="00CD05A6"/>
    <w:rsid w:val="00CD3D41"/>
    <w:rsid w:val="00CE3038"/>
    <w:rsid w:val="00CF58CA"/>
    <w:rsid w:val="00D0156D"/>
    <w:rsid w:val="00D01F8D"/>
    <w:rsid w:val="00D11499"/>
    <w:rsid w:val="00D41797"/>
    <w:rsid w:val="00D45C97"/>
    <w:rsid w:val="00D526EE"/>
    <w:rsid w:val="00D52E77"/>
    <w:rsid w:val="00D5507A"/>
    <w:rsid w:val="00D559D4"/>
    <w:rsid w:val="00D60F63"/>
    <w:rsid w:val="00D62545"/>
    <w:rsid w:val="00D63276"/>
    <w:rsid w:val="00D67FAC"/>
    <w:rsid w:val="00D83EB7"/>
    <w:rsid w:val="00D925A6"/>
    <w:rsid w:val="00D96616"/>
    <w:rsid w:val="00DA1BF8"/>
    <w:rsid w:val="00DD43F8"/>
    <w:rsid w:val="00DE1407"/>
    <w:rsid w:val="00E101D2"/>
    <w:rsid w:val="00E14234"/>
    <w:rsid w:val="00E2436C"/>
    <w:rsid w:val="00E367CF"/>
    <w:rsid w:val="00E37F8E"/>
    <w:rsid w:val="00E43D76"/>
    <w:rsid w:val="00E45AB8"/>
    <w:rsid w:val="00E46A83"/>
    <w:rsid w:val="00E64103"/>
    <w:rsid w:val="00E67891"/>
    <w:rsid w:val="00E728F4"/>
    <w:rsid w:val="00E853DF"/>
    <w:rsid w:val="00E91D0F"/>
    <w:rsid w:val="00EA5AE3"/>
    <w:rsid w:val="00EB75A6"/>
    <w:rsid w:val="00EC10D9"/>
    <w:rsid w:val="00EE229F"/>
    <w:rsid w:val="00EF0827"/>
    <w:rsid w:val="00F02A82"/>
    <w:rsid w:val="00F04A08"/>
    <w:rsid w:val="00F5068E"/>
    <w:rsid w:val="00F561E8"/>
    <w:rsid w:val="00F63A3D"/>
    <w:rsid w:val="00F91B93"/>
    <w:rsid w:val="00FA2FAD"/>
    <w:rsid w:val="00FA75B9"/>
    <w:rsid w:val="00FB44F3"/>
    <w:rsid w:val="00FE7E87"/>
    <w:rsid w:val="01050944"/>
    <w:rsid w:val="017E2739"/>
    <w:rsid w:val="0AFE53BA"/>
    <w:rsid w:val="0EF56F8E"/>
    <w:rsid w:val="20700ABB"/>
    <w:rsid w:val="27817E07"/>
    <w:rsid w:val="28BF71F2"/>
    <w:rsid w:val="2CF75313"/>
    <w:rsid w:val="347C6618"/>
    <w:rsid w:val="37310572"/>
    <w:rsid w:val="487D25F1"/>
    <w:rsid w:val="4B851AD0"/>
    <w:rsid w:val="4DDB31F5"/>
    <w:rsid w:val="51556699"/>
    <w:rsid w:val="5664268A"/>
    <w:rsid w:val="5AAE2166"/>
    <w:rsid w:val="632F43F6"/>
    <w:rsid w:val="7AE00CFB"/>
    <w:rsid w:val="7C0F7CC8"/>
    <w:rsid w:val="7CE00428"/>
    <w:rsid w:val="7F1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ind w:left="637"/>
    </w:pPr>
    <w:rPr>
      <w:rFonts w:ascii="宋体" w:hAnsi="宋体" w:eastAsia="宋体" w:cs="宋体"/>
      <w:kern w:val="0"/>
    </w:r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rPr>
      <w:rFonts w:ascii="Calibri" w:hAnsi="Calibri" w:eastAsia="宋体" w:cs="Calibri"/>
    </w:rPr>
  </w:style>
  <w:style w:type="paragraph" w:styleId="9">
    <w:name w:val="footer"/>
    <w:basedOn w:val="1"/>
    <w:qFormat/>
    <w:uiPriority w:val="0"/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11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标题 3 字符"/>
    <w:basedOn w:val="14"/>
    <w:autoRedefine/>
    <w:qFormat/>
    <w:uiPriority w:val="0"/>
    <w:rPr>
      <w:b/>
      <w:kern w:val="2"/>
      <w:sz w:val="32"/>
    </w:rPr>
  </w:style>
  <w:style w:type="character" w:customStyle="1" w:styleId="18">
    <w:name w:val="标题 4 字符"/>
    <w:basedOn w:val="14"/>
    <w:autoRedefine/>
    <w:qFormat/>
    <w:uiPriority w:val="0"/>
    <w:rPr>
      <w:rFonts w:asciiTheme="majorHAnsi" w:hAnsiTheme="majorHAnsi" w:eastAsiaTheme="majorEastAsia" w:cstheme="majorBidi"/>
      <w:b/>
      <w:kern w:val="2"/>
      <w:sz w:val="28"/>
    </w:rPr>
  </w:style>
  <w:style w:type="character" w:customStyle="1" w:styleId="19">
    <w:name w:val="正文文本 字符"/>
    <w:basedOn w:val="14"/>
    <w:qFormat/>
    <w:uiPriority w:val="0"/>
    <w:rPr>
      <w:rFonts w:ascii="宋体" w:hAnsi="宋体" w:eastAsia="宋体" w:cs="宋体"/>
      <w:sz w:val="21"/>
    </w:rPr>
  </w:style>
  <w:style w:type="paragraph" w:customStyle="1" w:styleId="20">
    <w:name w:val="正文缩进_0"/>
    <w:basedOn w:val="21"/>
    <w:autoRedefine/>
    <w:qFormat/>
    <w:uiPriority w:val="0"/>
    <w:pPr>
      <w:ind w:firstLine="420"/>
    </w:pPr>
    <w:rPr>
      <w:rFonts w:ascii="Times New Roman" w:hAnsi="Times New Roman"/>
      <w:kern w:val="0"/>
    </w:rPr>
  </w:style>
  <w:style w:type="paragraph" w:customStyle="1" w:styleId="21">
    <w:name w:val="正文_1"/>
    <w:autoRedefine/>
    <w:qFormat/>
    <w:uiPriority w:val="0"/>
    <w:pPr>
      <w:widowControl w:val="0"/>
    </w:pPr>
    <w:rPr>
      <w:rFonts w:ascii="Calibri" w:hAnsi="Calibri" w:eastAsiaTheme="minorEastAsia" w:cstheme="minorBidi"/>
      <w:kern w:val="2"/>
      <w:sz w:val="21"/>
      <w:lang w:val="en-US" w:eastAsia="zh-CN" w:bidi="ar-SA"/>
    </w:rPr>
  </w:style>
  <w:style w:type="character" w:customStyle="1" w:styleId="22">
    <w:name w:val="批注文字 字符1"/>
    <w:autoRedefine/>
    <w:qFormat/>
    <w:uiPriority w:val="0"/>
    <w:rPr>
      <w:rFonts w:ascii="Calibri" w:hAnsi="Calibri" w:eastAsia="宋体" w:cs="Calibri"/>
      <w:kern w:val="2"/>
      <w:sz w:val="21"/>
    </w:rPr>
  </w:style>
  <w:style w:type="paragraph" w:customStyle="1" w:styleId="2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4">
    <w:name w:val="正文缩进 Char_0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5">
    <w:name w:val="页脚 字符"/>
    <w:basedOn w:val="14"/>
    <w:qFormat/>
    <w:uiPriority w:val="0"/>
    <w:rPr>
      <w:kern w:val="2"/>
      <w:sz w:val="18"/>
    </w:rPr>
  </w:style>
  <w:style w:type="character" w:customStyle="1" w:styleId="26">
    <w:name w:val="页眉 字符"/>
    <w:basedOn w:val="14"/>
    <w:autoRedefine/>
    <w:qFormat/>
    <w:uiPriority w:val="0"/>
    <w:rPr>
      <w:kern w:val="2"/>
      <w:sz w:val="18"/>
    </w:rPr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character" w:customStyle="1" w:styleId="28">
    <w:name w:val="列表段落 字符"/>
    <w:autoRedefine/>
    <w:qFormat/>
    <w:uiPriority w:val="0"/>
    <w:rPr>
      <w:kern w:val="2"/>
      <w:sz w:val="21"/>
    </w:rPr>
  </w:style>
  <w:style w:type="character" w:customStyle="1" w:styleId="29">
    <w:name w:val="批注文字 字符"/>
    <w:basedOn w:val="14"/>
    <w:autoRedefine/>
    <w:qFormat/>
    <w:uiPriority w:val="0"/>
    <w:rPr>
      <w:kern w:val="2"/>
      <w:sz w:val="21"/>
    </w:rPr>
  </w:style>
  <w:style w:type="paragraph" w:customStyle="1" w:styleId="30">
    <w:name w:val="监测指标、参考指标"/>
    <w:basedOn w:val="1"/>
    <w:qFormat/>
    <w:uiPriority w:val="0"/>
    <w:pPr>
      <w:outlineLvl w:val="1"/>
    </w:pPr>
    <w:rPr>
      <w:rFonts w:eastAsia="仿宋_GB2312"/>
      <w:b/>
      <w:sz w:val="28"/>
      <w:szCs w:val="28"/>
    </w:rPr>
  </w:style>
  <w:style w:type="paragraph" w:customStyle="1" w:styleId="31">
    <w:name w:val="各章标题（方案）"/>
    <w:basedOn w:val="11"/>
    <w:next w:val="1"/>
    <w:link w:val="32"/>
    <w:autoRedefine/>
    <w:qFormat/>
    <w:uiPriority w:val="0"/>
    <w:pPr>
      <w:numPr>
        <w:ilvl w:val="0"/>
        <w:numId w:val="1"/>
      </w:numPr>
      <w:spacing w:before="480" w:after="360"/>
    </w:pPr>
    <w:rPr>
      <w:rFonts w:ascii="黑体" w:hAnsi="黑体" w:eastAsia="黑体"/>
    </w:rPr>
  </w:style>
  <w:style w:type="character" w:customStyle="1" w:styleId="32">
    <w:name w:val="各章标题（方案） 字符"/>
    <w:basedOn w:val="33"/>
    <w:link w:val="31"/>
    <w:qFormat/>
    <w:uiPriority w:val="0"/>
    <w:rPr>
      <w:rFonts w:ascii="黑体" w:hAnsi="黑体" w:eastAsia="黑体" w:cstheme="majorBidi"/>
      <w:kern w:val="2"/>
      <w:sz w:val="32"/>
      <w:szCs w:val="32"/>
    </w:rPr>
  </w:style>
  <w:style w:type="character" w:customStyle="1" w:styleId="33">
    <w:name w:val="标题 字符"/>
    <w:basedOn w:val="14"/>
    <w:link w:val="11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2393</Words>
  <Characters>2518</Characters>
  <Lines>1</Lines>
  <Paragraphs>1</Paragraphs>
  <TotalTime>5</TotalTime>
  <ScaleCrop>false</ScaleCrop>
  <LinksUpToDate>false</LinksUpToDate>
  <CharactersWithSpaces>2551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2023-05-31T00:58:00Z</dcterms:created>
  <dc:creator>DingTalk</dc:creator>
  <dc:description>DingTalk Document</dc:description>
  <cp:lastModifiedBy>lulu</cp:lastModifiedBy>
  <dcterms:modified xsi:type="dcterms:W3CDTF">2025-09-18T00:49:49Z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0B75B2D4A7864FE6AFE867B341B9C42A_13</vt:lpwstr>
  </property>
  <property fmtid="{D5CDD505-2E9C-101B-9397-08002B2CF9AE}" pid="4" name="KSOTemplateDocerSaveRecord">
    <vt:lpwstr>eyJoZGlkIjoiNDNlOGQxMjI2Njc5N2QyMzQyNjk2ZGEwOWUyODA5M2QiLCJ1c2VySWQiOiI0NDg1MDI4NjAifQ==</vt:lpwstr>
  </property>
</Properties>
</file>