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BE0D4">
      <w:pPr>
        <w:jc w:val="center"/>
        <w:rPr>
          <w:rFonts w:hint="eastAsia" w:ascii="黑体" w:hAnsi="黑体" w:eastAsia="黑体" w:cs="黑体"/>
          <w:sz w:val="44"/>
          <w:szCs w:val="44"/>
        </w:rPr>
      </w:pPr>
      <w:r>
        <w:rPr>
          <w:rFonts w:hint="eastAsia" w:ascii="黑体" w:hAnsi="黑体" w:eastAsia="黑体" w:cs="黑体"/>
          <w:b/>
          <w:sz w:val="44"/>
          <w:szCs w:val="44"/>
          <w:lang w:val="en-US" w:eastAsia="zh-CN"/>
        </w:rPr>
        <w:t>计算机及信息终端设备运维外包</w:t>
      </w:r>
      <w:bookmarkStart w:id="0" w:name="_GoBack"/>
      <w:bookmarkEnd w:id="0"/>
      <w:r>
        <w:rPr>
          <w:rFonts w:hint="eastAsia" w:ascii="黑体" w:hAnsi="黑体" w:eastAsia="黑体" w:cs="黑体"/>
          <w:b/>
          <w:sz w:val="44"/>
          <w:szCs w:val="44"/>
          <w:lang w:val="en-US" w:eastAsia="zh-CN"/>
        </w:rPr>
        <w:t>服务项目咨询论证用户需求书</w:t>
      </w:r>
    </w:p>
    <w:p w14:paraId="447D0333">
      <w:pPr>
        <w:pStyle w:val="4"/>
        <w:numPr>
          <w:ilvl w:val="0"/>
          <w:numId w:val="2"/>
        </w:numPr>
        <w:bidi w:val="0"/>
        <w:rPr>
          <w:rFonts w:hint="eastAsia"/>
          <w:sz w:val="32"/>
          <w:szCs w:val="32"/>
          <w:lang w:val="en-US" w:eastAsia="zh-CN"/>
        </w:rPr>
      </w:pPr>
      <w:r>
        <w:rPr>
          <w:rFonts w:hint="eastAsia"/>
          <w:sz w:val="32"/>
          <w:szCs w:val="32"/>
          <w:lang w:val="en-US" w:eastAsia="zh-CN"/>
        </w:rPr>
        <w:t>项目背景</w:t>
      </w:r>
    </w:p>
    <w:p w14:paraId="686B36B4">
      <w:pPr>
        <w:spacing w:line="360" w:lineRule="auto"/>
        <w:ind w:firstLine="560" w:firstLineChars="200"/>
        <w:rPr>
          <w:rFonts w:hint="eastAsia" w:ascii="宋体" w:hAnsi="宋体" w:eastAsia="宋体"/>
          <w:lang w:val="en-US" w:eastAsia="zh-CN"/>
        </w:rPr>
      </w:pPr>
      <w:r>
        <w:rPr>
          <w:rFonts w:hint="eastAsia" w:ascii="宋体" w:hAnsi="宋体" w:eastAsia="宋体"/>
          <w:lang w:val="en-US" w:eastAsia="zh-CN"/>
        </w:rPr>
        <w:t>随着医院信息化建设水平的不断提高和信息化应用的不断深入，医院信息化将从原来的基础平台搭建和基础维护管理（硬件）转变为医院核心业务系统（软件）的建设与管理，并依据国家医改的政策背景和智慧医院的整体框架进行信息化系统的规划和重构；未来医院信息化建设的主要目标将是提升两个满意度，一个是医护和管理人员的满意度；另一个是病人和公众的满意度。</w:t>
      </w:r>
    </w:p>
    <w:p w14:paraId="08EF3AFF">
      <w:pPr>
        <w:spacing w:line="360" w:lineRule="auto"/>
        <w:ind w:firstLine="560" w:firstLineChars="200"/>
        <w:rPr>
          <w:rFonts w:hint="eastAsia" w:ascii="宋体" w:hAnsi="宋体" w:eastAsia="宋体"/>
          <w:lang w:val="en-US" w:eastAsia="zh-CN"/>
        </w:rPr>
      </w:pPr>
      <w:r>
        <w:rPr>
          <w:rFonts w:hint="eastAsia" w:ascii="宋体" w:hAnsi="宋体" w:eastAsia="宋体"/>
          <w:lang w:val="en-US" w:eastAsia="zh-CN"/>
        </w:rPr>
        <w:t>南方科技大学医院是一所集急救、医疗、教学、科研、预防保健、康复为一体综合性医院，其IT系统的稳定运行尤为重要。通过IT运维服务外包，将日常工作量大、繁琐、复杂的桌面运维工作交与专业运维服务公司服务，使医院的信息部门人员有更多的时间着眼于医院信息化核心业务的建设，继而带动医院信息化的整体发展。通过服务外包并充分利用IT服务公司的团队技术优势、经验优势、成本优势等来帮助医院降低服务成本、改善服务质量、提高工作效率、提升公众满意度，更好地服务临床。</w:t>
      </w:r>
    </w:p>
    <w:p w14:paraId="3718ED40">
      <w:pPr>
        <w:rPr>
          <w:rFonts w:hint="eastAsia"/>
          <w:lang w:val="en-US" w:eastAsia="zh-CN"/>
        </w:rPr>
      </w:pPr>
      <w:r>
        <w:rPr>
          <w:rFonts w:hint="eastAsia" w:ascii="仿宋_GB2312" w:hAnsi="仿宋_GB2312" w:eastAsia="仿宋_GB2312" w:cs="仿宋_GB2312"/>
          <w:spacing w:val="-7"/>
          <w:sz w:val="32"/>
          <w:szCs w:val="32"/>
          <w:lang w:val="en-US" w:eastAsia="zh-CN"/>
        </w:rPr>
        <w:br w:type="page"/>
      </w:r>
    </w:p>
    <w:p w14:paraId="3BE6B12B">
      <w:pPr>
        <w:pStyle w:val="4"/>
        <w:numPr>
          <w:ilvl w:val="0"/>
          <w:numId w:val="2"/>
        </w:numPr>
        <w:bidi w:val="0"/>
        <w:rPr>
          <w:rFonts w:hint="default"/>
          <w:lang w:val="en-US" w:eastAsia="zh-CN"/>
        </w:rPr>
      </w:pPr>
      <w:r>
        <w:rPr>
          <w:rFonts w:hint="eastAsia"/>
        </w:rPr>
        <w:t>项目建设清单</w:t>
      </w:r>
    </w:p>
    <w:p w14:paraId="574FB0A3">
      <w:pPr>
        <w:pStyle w:val="3"/>
        <w:spacing w:line="360" w:lineRule="auto"/>
        <w:ind w:left="0" w:leftChars="0" w:firstLine="560" w:firstLineChars="200"/>
        <w:rPr>
          <w:rFonts w:hint="eastAsia"/>
          <w:lang w:val="en-US" w:eastAsia="zh-CN"/>
        </w:rPr>
      </w:pPr>
      <w:r>
        <w:rPr>
          <w:rFonts w:hint="eastAsia"/>
          <w:lang w:val="en-US" w:eastAsia="zh-CN"/>
        </w:rPr>
        <w:t>计算机及信息终端设备运维外包服务</w:t>
      </w:r>
      <w:r>
        <w:rPr>
          <w:rFonts w:hint="eastAsia" w:ascii="宋体" w:hAnsi="宋体" w:cs="宋体"/>
          <w:color w:val="auto"/>
          <w:lang w:val="en-US" w:eastAsia="zh-CN"/>
        </w:rPr>
        <w:t>项目</w:t>
      </w:r>
      <w:r>
        <w:rPr>
          <w:rFonts w:hint="eastAsia" w:ascii="宋体" w:hAnsi="宋体"/>
          <w:color w:val="auto"/>
          <w:szCs w:val="24"/>
        </w:rPr>
        <w:t>如下表：</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3245"/>
        <w:gridCol w:w="808"/>
        <w:gridCol w:w="915"/>
        <w:gridCol w:w="1314"/>
        <w:gridCol w:w="1348"/>
      </w:tblGrid>
      <w:tr w14:paraId="1135E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vAlign w:val="center"/>
          </w:tcPr>
          <w:p w14:paraId="09A7457F">
            <w:pPr>
              <w:spacing w:line="380" w:lineRule="exact"/>
              <w:jc w:val="center"/>
              <w:rPr>
                <w:rFonts w:hint="eastAsia" w:ascii="仿宋" w:hAnsi="仿宋" w:eastAsia="仿宋" w:cs="仿宋"/>
                <w:bCs/>
                <w:szCs w:val="21"/>
              </w:rPr>
            </w:pPr>
            <w:r>
              <w:rPr>
                <w:rFonts w:hint="eastAsia" w:ascii="仿宋" w:hAnsi="仿宋" w:eastAsia="仿宋" w:cs="仿宋"/>
                <w:bCs/>
                <w:szCs w:val="21"/>
              </w:rPr>
              <w:t>序号</w:t>
            </w:r>
          </w:p>
        </w:tc>
        <w:tc>
          <w:tcPr>
            <w:tcW w:w="1904" w:type="pct"/>
            <w:vAlign w:val="center"/>
          </w:tcPr>
          <w:p w14:paraId="36162EE6">
            <w:pPr>
              <w:spacing w:line="380" w:lineRule="exact"/>
              <w:jc w:val="center"/>
              <w:rPr>
                <w:rFonts w:hint="eastAsia" w:ascii="仿宋" w:hAnsi="仿宋" w:eastAsia="仿宋" w:cs="仿宋"/>
                <w:bCs/>
                <w:szCs w:val="21"/>
              </w:rPr>
            </w:pPr>
            <w:r>
              <w:rPr>
                <w:rFonts w:hint="eastAsia" w:ascii="仿宋" w:hAnsi="仿宋" w:eastAsia="仿宋" w:cs="仿宋"/>
                <w:bCs/>
                <w:szCs w:val="21"/>
              </w:rPr>
              <w:t>需求内容</w:t>
            </w:r>
          </w:p>
        </w:tc>
        <w:tc>
          <w:tcPr>
            <w:tcW w:w="474" w:type="pct"/>
            <w:vAlign w:val="center"/>
          </w:tcPr>
          <w:p w14:paraId="56837B87">
            <w:pPr>
              <w:spacing w:line="380" w:lineRule="exact"/>
              <w:jc w:val="center"/>
              <w:rPr>
                <w:rFonts w:hint="eastAsia" w:ascii="仿宋" w:hAnsi="仿宋" w:eastAsia="仿宋" w:cs="仿宋"/>
                <w:bCs/>
                <w:szCs w:val="21"/>
              </w:rPr>
            </w:pPr>
            <w:r>
              <w:rPr>
                <w:rFonts w:hint="eastAsia" w:ascii="仿宋" w:hAnsi="仿宋" w:eastAsia="仿宋" w:cs="仿宋"/>
                <w:bCs/>
                <w:szCs w:val="21"/>
              </w:rPr>
              <w:t>数量</w:t>
            </w:r>
          </w:p>
        </w:tc>
        <w:tc>
          <w:tcPr>
            <w:tcW w:w="537" w:type="pct"/>
            <w:vAlign w:val="center"/>
          </w:tcPr>
          <w:p w14:paraId="0A892F62">
            <w:pPr>
              <w:spacing w:line="380" w:lineRule="exact"/>
              <w:jc w:val="center"/>
              <w:rPr>
                <w:rFonts w:hint="eastAsia" w:ascii="仿宋" w:hAnsi="仿宋" w:eastAsia="仿宋" w:cs="仿宋"/>
                <w:bCs/>
                <w:szCs w:val="21"/>
              </w:rPr>
            </w:pPr>
            <w:r>
              <w:rPr>
                <w:rFonts w:hint="eastAsia" w:ascii="仿宋" w:hAnsi="仿宋" w:eastAsia="仿宋" w:cs="仿宋"/>
                <w:bCs/>
                <w:szCs w:val="21"/>
              </w:rPr>
              <w:t>单位</w:t>
            </w:r>
          </w:p>
        </w:tc>
        <w:tc>
          <w:tcPr>
            <w:tcW w:w="771" w:type="pct"/>
            <w:vAlign w:val="center"/>
          </w:tcPr>
          <w:p w14:paraId="269EFC0F">
            <w:pPr>
              <w:spacing w:line="380" w:lineRule="exact"/>
              <w:jc w:val="center"/>
              <w:rPr>
                <w:rFonts w:hint="eastAsia" w:ascii="仿宋" w:hAnsi="仿宋" w:eastAsia="仿宋" w:cs="仿宋"/>
                <w:bCs/>
                <w:szCs w:val="21"/>
              </w:rPr>
            </w:pPr>
            <w:r>
              <w:rPr>
                <w:rFonts w:hint="eastAsia" w:ascii="仿宋" w:hAnsi="仿宋" w:eastAsia="仿宋" w:cs="仿宋"/>
                <w:bCs/>
                <w:szCs w:val="21"/>
              </w:rPr>
              <w:t>备注</w:t>
            </w:r>
          </w:p>
        </w:tc>
        <w:tc>
          <w:tcPr>
            <w:tcW w:w="791" w:type="pct"/>
            <w:vAlign w:val="center"/>
          </w:tcPr>
          <w:p w14:paraId="77C102F0">
            <w:pPr>
              <w:spacing w:line="380" w:lineRule="exact"/>
              <w:jc w:val="center"/>
              <w:rPr>
                <w:rFonts w:hint="default" w:ascii="仿宋" w:hAnsi="仿宋" w:eastAsia="仿宋" w:cs="仿宋"/>
                <w:bCs/>
                <w:szCs w:val="21"/>
                <w:lang w:val="en-US" w:eastAsia="zh-CN"/>
              </w:rPr>
            </w:pPr>
            <w:r>
              <w:rPr>
                <w:rFonts w:hint="eastAsia" w:ascii="仿宋" w:hAnsi="仿宋" w:eastAsia="仿宋" w:cs="仿宋"/>
                <w:bCs/>
                <w:szCs w:val="21"/>
                <w:lang w:val="en-US" w:eastAsia="zh-CN"/>
              </w:rPr>
              <w:t>服务年限</w:t>
            </w:r>
          </w:p>
        </w:tc>
      </w:tr>
      <w:tr w14:paraId="39E84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vAlign w:val="center"/>
          </w:tcPr>
          <w:p w14:paraId="7F944CF9">
            <w:pPr>
              <w:spacing w:line="360" w:lineRule="auto"/>
              <w:jc w:val="center"/>
              <w:rPr>
                <w:rFonts w:hint="eastAsia" w:ascii="仿宋" w:hAnsi="仿宋" w:eastAsia="仿宋" w:cs="仿宋"/>
                <w:bCs/>
                <w:sz w:val="28"/>
                <w:szCs w:val="28"/>
              </w:rPr>
            </w:pPr>
            <w:r>
              <w:rPr>
                <w:rFonts w:hint="eastAsia" w:ascii="仿宋" w:hAnsi="仿宋" w:eastAsia="仿宋" w:cs="仿宋"/>
                <w:bCs/>
                <w:sz w:val="28"/>
                <w:szCs w:val="28"/>
              </w:rPr>
              <w:t>1</w:t>
            </w:r>
          </w:p>
        </w:tc>
        <w:tc>
          <w:tcPr>
            <w:tcW w:w="1904" w:type="pct"/>
            <w:shd w:val="clear" w:color="auto" w:fill="auto"/>
            <w:vAlign w:val="center"/>
          </w:tcPr>
          <w:p w14:paraId="7787E943">
            <w:pPr>
              <w:spacing w:line="360" w:lineRule="auto"/>
              <w:jc w:val="center"/>
              <w:rPr>
                <w:rFonts w:hint="eastAsia" w:ascii="仿宋" w:hAnsi="仿宋" w:eastAsia="仿宋" w:cs="仿宋"/>
                <w:bCs/>
                <w:kern w:val="2"/>
                <w:sz w:val="28"/>
                <w:szCs w:val="28"/>
                <w:lang w:val="en-US" w:eastAsia="zh-CN" w:bidi="ar-SA"/>
              </w:rPr>
            </w:pPr>
            <w:r>
              <w:rPr>
                <w:rFonts w:hint="eastAsia" w:ascii="仿宋" w:hAnsi="仿宋" w:eastAsia="仿宋" w:cs="仿宋"/>
                <w:sz w:val="28"/>
                <w:szCs w:val="28"/>
              </w:rPr>
              <w:t>计算机运维服务</w:t>
            </w:r>
          </w:p>
        </w:tc>
        <w:tc>
          <w:tcPr>
            <w:tcW w:w="474" w:type="pct"/>
            <w:shd w:val="clear" w:color="auto" w:fill="auto"/>
            <w:vAlign w:val="center"/>
          </w:tcPr>
          <w:p w14:paraId="285255F3">
            <w:pPr>
              <w:spacing w:line="360" w:lineRule="auto"/>
              <w:jc w:val="center"/>
              <w:rPr>
                <w:rFonts w:hint="eastAsia" w:ascii="仿宋" w:hAnsi="仿宋" w:eastAsia="仿宋" w:cs="仿宋"/>
                <w:bCs/>
                <w:kern w:val="2"/>
                <w:sz w:val="28"/>
                <w:szCs w:val="28"/>
                <w:lang w:val="en-US" w:eastAsia="zh-CN" w:bidi="ar-SA"/>
              </w:rPr>
            </w:pPr>
            <w:r>
              <w:rPr>
                <w:rFonts w:hint="eastAsia" w:ascii="仿宋" w:hAnsi="仿宋" w:eastAsia="仿宋" w:cs="仿宋"/>
                <w:bCs/>
                <w:sz w:val="28"/>
                <w:szCs w:val="28"/>
              </w:rPr>
              <w:t>1</w:t>
            </w:r>
          </w:p>
        </w:tc>
        <w:tc>
          <w:tcPr>
            <w:tcW w:w="537" w:type="pct"/>
            <w:shd w:val="clear" w:color="auto" w:fill="auto"/>
            <w:vAlign w:val="center"/>
          </w:tcPr>
          <w:p w14:paraId="6A76C66D">
            <w:pPr>
              <w:spacing w:line="360" w:lineRule="auto"/>
              <w:jc w:val="center"/>
              <w:rPr>
                <w:rFonts w:hint="eastAsia" w:ascii="仿宋" w:hAnsi="仿宋" w:eastAsia="仿宋" w:cs="仿宋"/>
                <w:bCs/>
                <w:kern w:val="2"/>
                <w:sz w:val="28"/>
                <w:szCs w:val="28"/>
                <w:lang w:val="en-US" w:eastAsia="zh-CN" w:bidi="ar-SA"/>
              </w:rPr>
            </w:pPr>
            <w:r>
              <w:rPr>
                <w:rFonts w:hint="eastAsia" w:ascii="仿宋" w:hAnsi="仿宋" w:eastAsia="仿宋" w:cs="仿宋"/>
                <w:bCs/>
                <w:sz w:val="28"/>
                <w:szCs w:val="28"/>
              </w:rPr>
              <w:t>项</w:t>
            </w:r>
          </w:p>
        </w:tc>
        <w:tc>
          <w:tcPr>
            <w:tcW w:w="771" w:type="pct"/>
            <w:shd w:val="clear" w:color="auto" w:fill="auto"/>
            <w:vAlign w:val="center"/>
          </w:tcPr>
          <w:p w14:paraId="65F72094">
            <w:pPr>
              <w:spacing w:line="360" w:lineRule="auto"/>
              <w:jc w:val="center"/>
              <w:rPr>
                <w:rFonts w:hint="eastAsia" w:ascii="仿宋" w:hAnsi="仿宋" w:eastAsia="仿宋" w:cs="仿宋"/>
                <w:bCs/>
                <w:kern w:val="2"/>
                <w:sz w:val="28"/>
                <w:szCs w:val="28"/>
                <w:lang w:val="en-US" w:eastAsia="zh-CN" w:bidi="ar-SA"/>
              </w:rPr>
            </w:pPr>
            <w:r>
              <w:rPr>
                <w:rFonts w:hint="eastAsia" w:ascii="仿宋" w:hAnsi="仿宋" w:eastAsia="仿宋" w:cs="仿宋"/>
                <w:bCs/>
                <w:sz w:val="28"/>
                <w:szCs w:val="28"/>
              </w:rPr>
              <w:t>无</w:t>
            </w:r>
          </w:p>
        </w:tc>
        <w:tc>
          <w:tcPr>
            <w:tcW w:w="791" w:type="pct"/>
            <w:vMerge w:val="restart"/>
            <w:vAlign w:val="center"/>
          </w:tcPr>
          <w:p w14:paraId="0E72C1A7">
            <w:pPr>
              <w:spacing w:line="360" w:lineRule="auto"/>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1年</w:t>
            </w:r>
          </w:p>
        </w:tc>
      </w:tr>
      <w:tr w14:paraId="5207C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vAlign w:val="center"/>
          </w:tcPr>
          <w:p w14:paraId="0525A7EC">
            <w:pPr>
              <w:spacing w:line="360" w:lineRule="auto"/>
              <w:jc w:val="center"/>
              <w:rPr>
                <w:rFonts w:hint="eastAsia" w:ascii="仿宋" w:hAnsi="仿宋" w:eastAsia="仿宋" w:cs="仿宋"/>
                <w:bCs/>
                <w:sz w:val="28"/>
                <w:szCs w:val="28"/>
              </w:rPr>
            </w:pPr>
            <w:r>
              <w:rPr>
                <w:rFonts w:hint="eastAsia" w:ascii="仿宋" w:hAnsi="仿宋" w:eastAsia="仿宋" w:cs="仿宋"/>
                <w:bCs/>
                <w:sz w:val="28"/>
                <w:szCs w:val="28"/>
              </w:rPr>
              <w:t>2</w:t>
            </w:r>
          </w:p>
        </w:tc>
        <w:tc>
          <w:tcPr>
            <w:tcW w:w="1904" w:type="pct"/>
            <w:shd w:val="clear" w:color="auto" w:fill="auto"/>
            <w:vAlign w:val="center"/>
          </w:tcPr>
          <w:p w14:paraId="12824D24">
            <w:pPr>
              <w:spacing w:line="360" w:lineRule="auto"/>
              <w:jc w:val="center"/>
              <w:rPr>
                <w:rFonts w:hint="default"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打印机运维服务</w:t>
            </w:r>
          </w:p>
        </w:tc>
        <w:tc>
          <w:tcPr>
            <w:tcW w:w="474" w:type="pct"/>
            <w:shd w:val="clear" w:color="auto" w:fill="auto"/>
            <w:vAlign w:val="center"/>
          </w:tcPr>
          <w:p w14:paraId="0108C7A4">
            <w:pPr>
              <w:spacing w:line="360" w:lineRule="auto"/>
              <w:jc w:val="center"/>
              <w:rPr>
                <w:rFonts w:hint="default"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1</w:t>
            </w:r>
          </w:p>
        </w:tc>
        <w:tc>
          <w:tcPr>
            <w:tcW w:w="537" w:type="pct"/>
            <w:shd w:val="clear" w:color="auto" w:fill="auto"/>
            <w:vAlign w:val="center"/>
          </w:tcPr>
          <w:p w14:paraId="41642949">
            <w:pPr>
              <w:spacing w:line="360" w:lineRule="auto"/>
              <w:jc w:val="center"/>
              <w:rPr>
                <w:rFonts w:hint="default"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项</w:t>
            </w:r>
          </w:p>
        </w:tc>
        <w:tc>
          <w:tcPr>
            <w:tcW w:w="771" w:type="pct"/>
            <w:shd w:val="clear" w:color="auto" w:fill="auto"/>
            <w:vAlign w:val="center"/>
          </w:tcPr>
          <w:p w14:paraId="43693DAE">
            <w:pPr>
              <w:spacing w:line="360" w:lineRule="auto"/>
              <w:jc w:val="center"/>
              <w:rPr>
                <w:rFonts w:hint="default"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无</w:t>
            </w:r>
          </w:p>
        </w:tc>
        <w:tc>
          <w:tcPr>
            <w:tcW w:w="791" w:type="pct"/>
            <w:vMerge w:val="continue"/>
            <w:vAlign w:val="center"/>
          </w:tcPr>
          <w:p w14:paraId="628380BD">
            <w:pPr>
              <w:spacing w:line="380" w:lineRule="exact"/>
              <w:jc w:val="center"/>
              <w:rPr>
                <w:rFonts w:hint="eastAsia" w:ascii="仿宋" w:hAnsi="仿宋" w:eastAsia="仿宋" w:cs="仿宋"/>
                <w:bCs/>
                <w:sz w:val="28"/>
                <w:szCs w:val="28"/>
              </w:rPr>
            </w:pPr>
          </w:p>
        </w:tc>
      </w:tr>
      <w:tr w14:paraId="4575F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vAlign w:val="center"/>
          </w:tcPr>
          <w:p w14:paraId="40FF6E26">
            <w:pPr>
              <w:spacing w:line="360" w:lineRule="auto"/>
              <w:jc w:val="center"/>
              <w:rPr>
                <w:rFonts w:hint="eastAsia" w:ascii="仿宋" w:hAnsi="仿宋" w:eastAsia="仿宋" w:cs="仿宋"/>
                <w:bCs/>
                <w:sz w:val="28"/>
                <w:szCs w:val="28"/>
              </w:rPr>
            </w:pPr>
            <w:r>
              <w:rPr>
                <w:rFonts w:hint="eastAsia" w:ascii="仿宋" w:hAnsi="仿宋" w:eastAsia="仿宋" w:cs="仿宋"/>
                <w:bCs/>
                <w:sz w:val="28"/>
                <w:szCs w:val="28"/>
              </w:rPr>
              <w:t>3</w:t>
            </w:r>
          </w:p>
        </w:tc>
        <w:tc>
          <w:tcPr>
            <w:tcW w:w="1904" w:type="pct"/>
            <w:shd w:val="clear" w:color="auto" w:fill="auto"/>
            <w:vAlign w:val="center"/>
          </w:tcPr>
          <w:p w14:paraId="062A4B78">
            <w:pPr>
              <w:spacing w:line="360" w:lineRule="auto"/>
              <w:jc w:val="center"/>
              <w:rPr>
                <w:rFonts w:hint="eastAsia" w:ascii="仿宋" w:hAnsi="仿宋" w:eastAsia="仿宋" w:cs="仿宋"/>
                <w:bCs/>
                <w:kern w:val="2"/>
                <w:sz w:val="28"/>
                <w:szCs w:val="28"/>
                <w:lang w:val="en-US" w:eastAsia="zh-CN" w:bidi="ar-SA"/>
              </w:rPr>
            </w:pPr>
            <w:r>
              <w:rPr>
                <w:rFonts w:hint="eastAsia" w:ascii="仿宋" w:hAnsi="仿宋" w:eastAsia="仿宋" w:cs="仿宋"/>
                <w:sz w:val="28"/>
                <w:szCs w:val="28"/>
              </w:rPr>
              <w:t>其它信息终端维护服务</w:t>
            </w:r>
          </w:p>
        </w:tc>
        <w:tc>
          <w:tcPr>
            <w:tcW w:w="474" w:type="pct"/>
            <w:shd w:val="clear" w:color="auto" w:fill="auto"/>
            <w:vAlign w:val="center"/>
          </w:tcPr>
          <w:p w14:paraId="4258BE99">
            <w:pPr>
              <w:spacing w:line="360" w:lineRule="auto"/>
              <w:jc w:val="center"/>
              <w:rPr>
                <w:rFonts w:hint="eastAsia" w:ascii="仿宋" w:hAnsi="仿宋" w:eastAsia="仿宋" w:cs="仿宋"/>
                <w:bCs/>
                <w:kern w:val="2"/>
                <w:sz w:val="28"/>
                <w:szCs w:val="28"/>
                <w:lang w:val="en-US" w:eastAsia="zh-CN" w:bidi="ar-SA"/>
              </w:rPr>
            </w:pPr>
            <w:r>
              <w:rPr>
                <w:rFonts w:hint="eastAsia" w:ascii="仿宋" w:hAnsi="仿宋" w:eastAsia="仿宋" w:cs="仿宋"/>
                <w:bCs/>
                <w:sz w:val="28"/>
                <w:szCs w:val="28"/>
              </w:rPr>
              <w:t>1</w:t>
            </w:r>
          </w:p>
        </w:tc>
        <w:tc>
          <w:tcPr>
            <w:tcW w:w="537" w:type="pct"/>
            <w:shd w:val="clear" w:color="auto" w:fill="auto"/>
            <w:vAlign w:val="center"/>
          </w:tcPr>
          <w:p w14:paraId="0727C70A">
            <w:pPr>
              <w:spacing w:line="360" w:lineRule="auto"/>
              <w:jc w:val="center"/>
              <w:rPr>
                <w:rFonts w:hint="eastAsia" w:ascii="仿宋" w:hAnsi="仿宋" w:eastAsia="仿宋" w:cs="仿宋"/>
                <w:bCs/>
                <w:kern w:val="2"/>
                <w:sz w:val="28"/>
                <w:szCs w:val="28"/>
                <w:lang w:val="en-US" w:eastAsia="zh-CN" w:bidi="ar-SA"/>
              </w:rPr>
            </w:pPr>
            <w:r>
              <w:rPr>
                <w:rFonts w:hint="eastAsia" w:ascii="仿宋" w:hAnsi="仿宋" w:eastAsia="仿宋" w:cs="仿宋"/>
                <w:bCs/>
                <w:sz w:val="28"/>
                <w:szCs w:val="28"/>
              </w:rPr>
              <w:t>项</w:t>
            </w:r>
          </w:p>
        </w:tc>
        <w:tc>
          <w:tcPr>
            <w:tcW w:w="771" w:type="pct"/>
            <w:shd w:val="clear" w:color="auto" w:fill="auto"/>
            <w:vAlign w:val="center"/>
          </w:tcPr>
          <w:p w14:paraId="67069060">
            <w:pPr>
              <w:spacing w:line="360" w:lineRule="auto"/>
              <w:jc w:val="center"/>
              <w:rPr>
                <w:rFonts w:hint="eastAsia" w:ascii="仿宋" w:hAnsi="仿宋" w:eastAsia="仿宋" w:cs="仿宋"/>
                <w:bCs/>
                <w:kern w:val="2"/>
                <w:sz w:val="28"/>
                <w:szCs w:val="28"/>
                <w:lang w:val="en-US" w:eastAsia="zh-CN" w:bidi="ar-SA"/>
              </w:rPr>
            </w:pPr>
            <w:r>
              <w:rPr>
                <w:rFonts w:hint="eastAsia" w:ascii="仿宋" w:hAnsi="仿宋" w:eastAsia="仿宋" w:cs="仿宋"/>
                <w:bCs/>
                <w:sz w:val="28"/>
                <w:szCs w:val="28"/>
              </w:rPr>
              <w:t>无</w:t>
            </w:r>
          </w:p>
        </w:tc>
        <w:tc>
          <w:tcPr>
            <w:tcW w:w="791" w:type="pct"/>
            <w:vMerge w:val="continue"/>
            <w:vAlign w:val="center"/>
          </w:tcPr>
          <w:p w14:paraId="48CB5DD0">
            <w:pPr>
              <w:spacing w:line="380" w:lineRule="exact"/>
              <w:jc w:val="center"/>
              <w:rPr>
                <w:rFonts w:hint="eastAsia" w:ascii="仿宋" w:hAnsi="仿宋" w:eastAsia="仿宋" w:cs="仿宋"/>
                <w:bCs/>
                <w:sz w:val="28"/>
                <w:szCs w:val="28"/>
              </w:rPr>
            </w:pPr>
          </w:p>
        </w:tc>
      </w:tr>
      <w:tr w14:paraId="030FF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vAlign w:val="center"/>
          </w:tcPr>
          <w:p w14:paraId="7435EFEE">
            <w:pPr>
              <w:spacing w:line="360" w:lineRule="auto"/>
              <w:jc w:val="center"/>
              <w:rPr>
                <w:rFonts w:hint="eastAsia" w:ascii="仿宋" w:hAnsi="仿宋" w:eastAsia="仿宋" w:cs="仿宋"/>
                <w:bCs/>
                <w:sz w:val="28"/>
                <w:szCs w:val="28"/>
              </w:rPr>
            </w:pPr>
            <w:r>
              <w:rPr>
                <w:rFonts w:hint="eastAsia" w:ascii="仿宋" w:hAnsi="仿宋" w:eastAsia="仿宋" w:cs="仿宋"/>
                <w:bCs/>
                <w:sz w:val="28"/>
                <w:szCs w:val="28"/>
              </w:rPr>
              <w:t>4</w:t>
            </w:r>
          </w:p>
        </w:tc>
        <w:tc>
          <w:tcPr>
            <w:tcW w:w="1904" w:type="pct"/>
            <w:shd w:val="clear" w:color="auto" w:fill="auto"/>
            <w:vAlign w:val="center"/>
          </w:tcPr>
          <w:p w14:paraId="72EB4759">
            <w:pPr>
              <w:spacing w:line="360" w:lineRule="auto"/>
              <w:jc w:val="center"/>
              <w:rPr>
                <w:rFonts w:hint="eastAsia" w:ascii="仿宋" w:hAnsi="仿宋" w:eastAsia="仿宋" w:cs="仿宋"/>
                <w:bCs/>
                <w:kern w:val="2"/>
                <w:sz w:val="28"/>
                <w:szCs w:val="28"/>
                <w:lang w:val="en-US" w:eastAsia="zh-CN" w:bidi="ar-SA"/>
              </w:rPr>
            </w:pPr>
            <w:r>
              <w:rPr>
                <w:rFonts w:hint="eastAsia" w:ascii="仿宋" w:hAnsi="仿宋" w:eastAsia="仿宋" w:cs="仿宋"/>
                <w:sz w:val="28"/>
                <w:szCs w:val="28"/>
              </w:rPr>
              <w:t>基础网络运维服务</w:t>
            </w:r>
          </w:p>
        </w:tc>
        <w:tc>
          <w:tcPr>
            <w:tcW w:w="474" w:type="pct"/>
            <w:shd w:val="clear" w:color="auto" w:fill="auto"/>
            <w:vAlign w:val="center"/>
          </w:tcPr>
          <w:p w14:paraId="279CFC5D">
            <w:pPr>
              <w:spacing w:line="360" w:lineRule="auto"/>
              <w:jc w:val="center"/>
              <w:rPr>
                <w:rFonts w:hint="eastAsia" w:ascii="仿宋" w:hAnsi="仿宋" w:eastAsia="仿宋" w:cs="仿宋"/>
                <w:bCs/>
                <w:kern w:val="2"/>
                <w:sz w:val="28"/>
                <w:szCs w:val="28"/>
                <w:lang w:val="en-US" w:eastAsia="zh-CN" w:bidi="ar-SA"/>
              </w:rPr>
            </w:pPr>
            <w:r>
              <w:rPr>
                <w:rFonts w:hint="eastAsia" w:ascii="仿宋" w:hAnsi="仿宋" w:eastAsia="仿宋" w:cs="仿宋"/>
                <w:bCs/>
                <w:sz w:val="28"/>
                <w:szCs w:val="28"/>
              </w:rPr>
              <w:t>1</w:t>
            </w:r>
          </w:p>
        </w:tc>
        <w:tc>
          <w:tcPr>
            <w:tcW w:w="537" w:type="pct"/>
            <w:shd w:val="clear" w:color="auto" w:fill="auto"/>
            <w:vAlign w:val="center"/>
          </w:tcPr>
          <w:p w14:paraId="34850DE9">
            <w:pPr>
              <w:spacing w:line="360" w:lineRule="auto"/>
              <w:jc w:val="center"/>
              <w:rPr>
                <w:rFonts w:hint="eastAsia" w:ascii="仿宋" w:hAnsi="仿宋" w:eastAsia="仿宋" w:cs="仿宋"/>
                <w:bCs/>
                <w:kern w:val="2"/>
                <w:sz w:val="28"/>
                <w:szCs w:val="28"/>
                <w:lang w:val="en-US" w:eastAsia="zh-CN" w:bidi="ar-SA"/>
              </w:rPr>
            </w:pPr>
            <w:r>
              <w:rPr>
                <w:rFonts w:hint="eastAsia" w:ascii="仿宋" w:hAnsi="仿宋" w:eastAsia="仿宋" w:cs="仿宋"/>
                <w:bCs/>
                <w:sz w:val="28"/>
                <w:szCs w:val="28"/>
              </w:rPr>
              <w:t>项</w:t>
            </w:r>
          </w:p>
        </w:tc>
        <w:tc>
          <w:tcPr>
            <w:tcW w:w="771" w:type="pct"/>
            <w:shd w:val="clear" w:color="auto" w:fill="auto"/>
            <w:vAlign w:val="center"/>
          </w:tcPr>
          <w:p w14:paraId="71D98A20">
            <w:pPr>
              <w:spacing w:line="360" w:lineRule="auto"/>
              <w:jc w:val="center"/>
              <w:rPr>
                <w:rFonts w:hint="eastAsia" w:ascii="仿宋" w:hAnsi="仿宋" w:eastAsia="仿宋" w:cs="仿宋"/>
                <w:bCs/>
                <w:kern w:val="2"/>
                <w:sz w:val="28"/>
                <w:szCs w:val="28"/>
                <w:lang w:val="en-US" w:eastAsia="zh-CN" w:bidi="ar-SA"/>
              </w:rPr>
            </w:pPr>
            <w:r>
              <w:rPr>
                <w:rFonts w:hint="eastAsia" w:ascii="仿宋" w:hAnsi="仿宋" w:eastAsia="仿宋" w:cs="仿宋"/>
                <w:bCs/>
                <w:sz w:val="28"/>
                <w:szCs w:val="28"/>
              </w:rPr>
              <w:t>无</w:t>
            </w:r>
          </w:p>
        </w:tc>
        <w:tc>
          <w:tcPr>
            <w:tcW w:w="791" w:type="pct"/>
            <w:vMerge w:val="continue"/>
            <w:vAlign w:val="center"/>
          </w:tcPr>
          <w:p w14:paraId="62163846">
            <w:pPr>
              <w:spacing w:line="380" w:lineRule="exact"/>
              <w:jc w:val="center"/>
              <w:rPr>
                <w:rFonts w:hint="eastAsia" w:ascii="仿宋" w:hAnsi="仿宋" w:eastAsia="仿宋" w:cs="仿宋"/>
                <w:bCs/>
                <w:sz w:val="28"/>
                <w:szCs w:val="28"/>
              </w:rPr>
            </w:pPr>
          </w:p>
        </w:tc>
      </w:tr>
      <w:tr w14:paraId="7C406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vAlign w:val="center"/>
          </w:tcPr>
          <w:p w14:paraId="743BD230">
            <w:pPr>
              <w:spacing w:line="360" w:lineRule="auto"/>
              <w:jc w:val="center"/>
              <w:rPr>
                <w:rFonts w:hint="eastAsia" w:ascii="仿宋" w:hAnsi="仿宋" w:eastAsia="仿宋" w:cs="仿宋"/>
                <w:bCs/>
                <w:sz w:val="28"/>
                <w:szCs w:val="28"/>
              </w:rPr>
            </w:pPr>
            <w:r>
              <w:rPr>
                <w:rFonts w:hint="eastAsia" w:ascii="仿宋" w:hAnsi="仿宋" w:eastAsia="仿宋" w:cs="仿宋"/>
                <w:bCs/>
                <w:sz w:val="28"/>
                <w:szCs w:val="28"/>
              </w:rPr>
              <w:t>5</w:t>
            </w:r>
          </w:p>
        </w:tc>
        <w:tc>
          <w:tcPr>
            <w:tcW w:w="1904" w:type="pct"/>
            <w:shd w:val="clear" w:color="auto" w:fill="auto"/>
            <w:vAlign w:val="center"/>
          </w:tcPr>
          <w:p w14:paraId="4E035ECA">
            <w:pPr>
              <w:spacing w:line="360" w:lineRule="auto"/>
              <w:jc w:val="center"/>
              <w:rPr>
                <w:rFonts w:hint="eastAsia" w:ascii="仿宋" w:hAnsi="仿宋" w:eastAsia="仿宋" w:cs="仿宋"/>
                <w:bCs/>
                <w:kern w:val="2"/>
                <w:sz w:val="28"/>
                <w:szCs w:val="28"/>
                <w:lang w:val="en-US" w:eastAsia="zh-CN" w:bidi="ar-SA"/>
              </w:rPr>
            </w:pPr>
            <w:r>
              <w:rPr>
                <w:rFonts w:hint="eastAsia" w:ascii="仿宋" w:hAnsi="仿宋" w:eastAsia="仿宋" w:cs="仿宋"/>
                <w:sz w:val="28"/>
                <w:szCs w:val="28"/>
              </w:rPr>
              <w:t>定期设备保养服务</w:t>
            </w:r>
          </w:p>
        </w:tc>
        <w:tc>
          <w:tcPr>
            <w:tcW w:w="474" w:type="pct"/>
            <w:shd w:val="clear" w:color="auto" w:fill="auto"/>
            <w:vAlign w:val="center"/>
          </w:tcPr>
          <w:p w14:paraId="3F236828">
            <w:pPr>
              <w:spacing w:line="360" w:lineRule="auto"/>
              <w:jc w:val="center"/>
              <w:rPr>
                <w:rFonts w:hint="eastAsia" w:ascii="仿宋" w:hAnsi="仿宋" w:eastAsia="仿宋" w:cs="仿宋"/>
                <w:bCs/>
                <w:kern w:val="2"/>
                <w:sz w:val="28"/>
                <w:szCs w:val="28"/>
                <w:lang w:val="en-US" w:eastAsia="zh-CN" w:bidi="ar-SA"/>
              </w:rPr>
            </w:pPr>
            <w:r>
              <w:rPr>
                <w:rFonts w:hint="eastAsia" w:ascii="仿宋" w:hAnsi="仿宋" w:eastAsia="仿宋" w:cs="仿宋"/>
                <w:bCs/>
                <w:sz w:val="28"/>
                <w:szCs w:val="28"/>
              </w:rPr>
              <w:t>1</w:t>
            </w:r>
          </w:p>
        </w:tc>
        <w:tc>
          <w:tcPr>
            <w:tcW w:w="537" w:type="pct"/>
            <w:shd w:val="clear" w:color="auto" w:fill="auto"/>
            <w:vAlign w:val="center"/>
          </w:tcPr>
          <w:p w14:paraId="5BBDE1D0">
            <w:pPr>
              <w:spacing w:line="360" w:lineRule="auto"/>
              <w:jc w:val="center"/>
              <w:rPr>
                <w:rFonts w:hint="eastAsia" w:ascii="仿宋" w:hAnsi="仿宋" w:eastAsia="仿宋" w:cs="仿宋"/>
                <w:bCs/>
                <w:kern w:val="2"/>
                <w:sz w:val="28"/>
                <w:szCs w:val="28"/>
                <w:lang w:val="en-US" w:eastAsia="zh-CN" w:bidi="ar-SA"/>
              </w:rPr>
            </w:pPr>
            <w:r>
              <w:rPr>
                <w:rFonts w:hint="eastAsia" w:ascii="仿宋" w:hAnsi="仿宋" w:eastAsia="仿宋" w:cs="仿宋"/>
                <w:bCs/>
                <w:sz w:val="28"/>
                <w:szCs w:val="28"/>
              </w:rPr>
              <w:t>项</w:t>
            </w:r>
          </w:p>
        </w:tc>
        <w:tc>
          <w:tcPr>
            <w:tcW w:w="771" w:type="pct"/>
            <w:shd w:val="clear" w:color="auto" w:fill="auto"/>
            <w:vAlign w:val="center"/>
          </w:tcPr>
          <w:p w14:paraId="1A6D6379">
            <w:pPr>
              <w:spacing w:line="360" w:lineRule="auto"/>
              <w:jc w:val="center"/>
              <w:rPr>
                <w:rFonts w:hint="eastAsia" w:ascii="仿宋" w:hAnsi="仿宋" w:eastAsia="仿宋" w:cs="仿宋"/>
                <w:bCs/>
                <w:kern w:val="2"/>
                <w:sz w:val="28"/>
                <w:szCs w:val="28"/>
                <w:lang w:val="en-US" w:eastAsia="zh-CN" w:bidi="ar-SA"/>
              </w:rPr>
            </w:pPr>
            <w:r>
              <w:rPr>
                <w:rFonts w:hint="eastAsia" w:ascii="仿宋" w:hAnsi="仿宋" w:eastAsia="仿宋" w:cs="仿宋"/>
                <w:bCs/>
                <w:sz w:val="28"/>
                <w:szCs w:val="28"/>
              </w:rPr>
              <w:t>无</w:t>
            </w:r>
          </w:p>
        </w:tc>
        <w:tc>
          <w:tcPr>
            <w:tcW w:w="791" w:type="pct"/>
            <w:vMerge w:val="continue"/>
            <w:vAlign w:val="center"/>
          </w:tcPr>
          <w:p w14:paraId="38422F18">
            <w:pPr>
              <w:spacing w:line="380" w:lineRule="exact"/>
              <w:jc w:val="center"/>
              <w:rPr>
                <w:rFonts w:hint="eastAsia" w:ascii="仿宋" w:hAnsi="仿宋" w:eastAsia="仿宋" w:cs="仿宋"/>
                <w:bCs/>
                <w:sz w:val="28"/>
                <w:szCs w:val="28"/>
              </w:rPr>
            </w:pPr>
          </w:p>
        </w:tc>
      </w:tr>
      <w:tr w14:paraId="59D06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vAlign w:val="center"/>
          </w:tcPr>
          <w:p w14:paraId="4D588119">
            <w:pPr>
              <w:spacing w:line="360" w:lineRule="auto"/>
              <w:jc w:val="center"/>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6</w:t>
            </w:r>
          </w:p>
        </w:tc>
        <w:tc>
          <w:tcPr>
            <w:tcW w:w="1904" w:type="pct"/>
            <w:shd w:val="clear" w:color="auto" w:fill="auto"/>
            <w:vAlign w:val="center"/>
          </w:tcPr>
          <w:p w14:paraId="5E6EA2DA">
            <w:pPr>
              <w:spacing w:line="360" w:lineRule="auto"/>
              <w:jc w:val="center"/>
              <w:rPr>
                <w:rFonts w:hint="eastAsia" w:ascii="仿宋" w:hAnsi="仿宋" w:eastAsia="仿宋" w:cs="仿宋"/>
                <w:bCs/>
                <w:kern w:val="2"/>
                <w:sz w:val="28"/>
                <w:szCs w:val="28"/>
                <w:lang w:val="en-US" w:eastAsia="zh-CN" w:bidi="ar-SA"/>
              </w:rPr>
            </w:pPr>
            <w:r>
              <w:rPr>
                <w:rFonts w:hint="eastAsia" w:ascii="仿宋" w:hAnsi="仿宋" w:eastAsia="仿宋" w:cs="仿宋"/>
                <w:bCs/>
                <w:sz w:val="28"/>
                <w:szCs w:val="28"/>
              </w:rPr>
              <w:t>咨询规划服务</w:t>
            </w:r>
          </w:p>
        </w:tc>
        <w:tc>
          <w:tcPr>
            <w:tcW w:w="474" w:type="pct"/>
            <w:shd w:val="clear" w:color="auto" w:fill="auto"/>
            <w:vAlign w:val="center"/>
          </w:tcPr>
          <w:p w14:paraId="6D37D0DC">
            <w:pPr>
              <w:spacing w:line="360" w:lineRule="auto"/>
              <w:jc w:val="center"/>
              <w:rPr>
                <w:rFonts w:hint="eastAsia" w:ascii="仿宋" w:hAnsi="仿宋" w:eastAsia="仿宋" w:cs="仿宋"/>
                <w:bCs/>
                <w:kern w:val="2"/>
                <w:sz w:val="28"/>
                <w:szCs w:val="28"/>
                <w:lang w:val="en-US" w:eastAsia="zh-CN" w:bidi="ar-SA"/>
              </w:rPr>
            </w:pPr>
            <w:r>
              <w:rPr>
                <w:rFonts w:hint="eastAsia" w:ascii="仿宋" w:hAnsi="仿宋" w:eastAsia="仿宋" w:cs="仿宋"/>
                <w:bCs/>
                <w:sz w:val="28"/>
                <w:szCs w:val="28"/>
              </w:rPr>
              <w:t>1</w:t>
            </w:r>
          </w:p>
        </w:tc>
        <w:tc>
          <w:tcPr>
            <w:tcW w:w="537" w:type="pct"/>
            <w:shd w:val="clear" w:color="auto" w:fill="auto"/>
            <w:vAlign w:val="center"/>
          </w:tcPr>
          <w:p w14:paraId="35512212">
            <w:pPr>
              <w:spacing w:line="360" w:lineRule="auto"/>
              <w:jc w:val="center"/>
              <w:rPr>
                <w:rFonts w:hint="eastAsia" w:ascii="仿宋" w:hAnsi="仿宋" w:eastAsia="仿宋" w:cs="仿宋"/>
                <w:bCs/>
                <w:kern w:val="2"/>
                <w:sz w:val="28"/>
                <w:szCs w:val="28"/>
                <w:lang w:val="en-US" w:eastAsia="zh-CN" w:bidi="ar-SA"/>
              </w:rPr>
            </w:pPr>
            <w:r>
              <w:rPr>
                <w:rFonts w:hint="eastAsia" w:ascii="仿宋" w:hAnsi="仿宋" w:eastAsia="仿宋" w:cs="仿宋"/>
                <w:bCs/>
                <w:sz w:val="28"/>
                <w:szCs w:val="28"/>
              </w:rPr>
              <w:t>项</w:t>
            </w:r>
          </w:p>
        </w:tc>
        <w:tc>
          <w:tcPr>
            <w:tcW w:w="771" w:type="pct"/>
            <w:shd w:val="clear" w:color="auto" w:fill="auto"/>
            <w:vAlign w:val="center"/>
          </w:tcPr>
          <w:p w14:paraId="499A932A">
            <w:pPr>
              <w:spacing w:line="360" w:lineRule="auto"/>
              <w:jc w:val="center"/>
              <w:rPr>
                <w:rFonts w:hint="eastAsia" w:ascii="仿宋" w:hAnsi="仿宋" w:eastAsia="仿宋" w:cs="仿宋"/>
                <w:bCs/>
                <w:kern w:val="2"/>
                <w:sz w:val="28"/>
                <w:szCs w:val="28"/>
                <w:lang w:val="en-US" w:eastAsia="zh-CN" w:bidi="ar-SA"/>
              </w:rPr>
            </w:pPr>
            <w:r>
              <w:rPr>
                <w:rFonts w:hint="eastAsia" w:ascii="仿宋" w:hAnsi="仿宋" w:eastAsia="仿宋" w:cs="仿宋"/>
                <w:bCs/>
                <w:sz w:val="28"/>
                <w:szCs w:val="28"/>
              </w:rPr>
              <w:t>无</w:t>
            </w:r>
          </w:p>
        </w:tc>
        <w:tc>
          <w:tcPr>
            <w:tcW w:w="791" w:type="pct"/>
            <w:vMerge w:val="continue"/>
            <w:vAlign w:val="center"/>
          </w:tcPr>
          <w:p w14:paraId="1B8D2691">
            <w:pPr>
              <w:spacing w:line="380" w:lineRule="exact"/>
              <w:jc w:val="center"/>
              <w:rPr>
                <w:rFonts w:hint="eastAsia" w:ascii="仿宋" w:hAnsi="仿宋" w:eastAsia="仿宋" w:cs="仿宋"/>
                <w:bCs/>
                <w:sz w:val="28"/>
                <w:szCs w:val="28"/>
              </w:rPr>
            </w:pPr>
          </w:p>
        </w:tc>
      </w:tr>
      <w:tr w14:paraId="2153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vAlign w:val="center"/>
          </w:tcPr>
          <w:p w14:paraId="2481D09D">
            <w:pPr>
              <w:spacing w:line="360" w:lineRule="auto"/>
              <w:jc w:val="center"/>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7</w:t>
            </w:r>
          </w:p>
        </w:tc>
        <w:tc>
          <w:tcPr>
            <w:tcW w:w="1904" w:type="pct"/>
            <w:shd w:val="clear" w:color="auto" w:fill="auto"/>
            <w:vAlign w:val="center"/>
          </w:tcPr>
          <w:p w14:paraId="0336934B">
            <w:pPr>
              <w:spacing w:line="360" w:lineRule="auto"/>
              <w:jc w:val="center"/>
              <w:rPr>
                <w:rFonts w:hint="eastAsia" w:ascii="仿宋" w:hAnsi="仿宋" w:eastAsia="仿宋" w:cs="仿宋"/>
                <w:bCs/>
                <w:kern w:val="2"/>
                <w:sz w:val="28"/>
                <w:szCs w:val="28"/>
                <w:lang w:val="en-US" w:eastAsia="zh-CN" w:bidi="ar-SA"/>
              </w:rPr>
            </w:pPr>
            <w:r>
              <w:rPr>
                <w:rFonts w:hint="eastAsia" w:ascii="仿宋" w:hAnsi="仿宋" w:eastAsia="仿宋" w:cs="仿宋"/>
                <w:sz w:val="28"/>
                <w:szCs w:val="28"/>
              </w:rPr>
              <w:t>应急响应服务</w:t>
            </w:r>
          </w:p>
        </w:tc>
        <w:tc>
          <w:tcPr>
            <w:tcW w:w="474" w:type="pct"/>
            <w:shd w:val="clear" w:color="auto" w:fill="auto"/>
            <w:vAlign w:val="center"/>
          </w:tcPr>
          <w:p w14:paraId="58F1E967">
            <w:pPr>
              <w:spacing w:line="360" w:lineRule="auto"/>
              <w:jc w:val="center"/>
              <w:rPr>
                <w:rFonts w:hint="eastAsia" w:ascii="仿宋" w:hAnsi="仿宋" w:eastAsia="仿宋" w:cs="仿宋"/>
                <w:bCs/>
                <w:kern w:val="2"/>
                <w:sz w:val="28"/>
                <w:szCs w:val="28"/>
                <w:lang w:val="en-US" w:eastAsia="zh-CN" w:bidi="ar-SA"/>
              </w:rPr>
            </w:pPr>
            <w:r>
              <w:rPr>
                <w:rFonts w:hint="eastAsia" w:ascii="仿宋" w:hAnsi="仿宋" w:eastAsia="仿宋" w:cs="仿宋"/>
                <w:bCs/>
                <w:sz w:val="28"/>
                <w:szCs w:val="28"/>
              </w:rPr>
              <w:t>1</w:t>
            </w:r>
          </w:p>
        </w:tc>
        <w:tc>
          <w:tcPr>
            <w:tcW w:w="537" w:type="pct"/>
            <w:shd w:val="clear" w:color="auto" w:fill="auto"/>
            <w:vAlign w:val="center"/>
          </w:tcPr>
          <w:p w14:paraId="65DD69F3">
            <w:pPr>
              <w:spacing w:line="360" w:lineRule="auto"/>
              <w:jc w:val="center"/>
              <w:rPr>
                <w:rFonts w:hint="eastAsia" w:ascii="仿宋" w:hAnsi="仿宋" w:eastAsia="仿宋" w:cs="仿宋"/>
                <w:bCs/>
                <w:kern w:val="2"/>
                <w:sz w:val="28"/>
                <w:szCs w:val="28"/>
                <w:lang w:val="en-US" w:eastAsia="zh-CN" w:bidi="ar-SA"/>
              </w:rPr>
            </w:pPr>
            <w:r>
              <w:rPr>
                <w:rFonts w:hint="eastAsia" w:ascii="仿宋" w:hAnsi="仿宋" w:eastAsia="仿宋" w:cs="仿宋"/>
                <w:bCs/>
                <w:sz w:val="28"/>
                <w:szCs w:val="28"/>
              </w:rPr>
              <w:t>项</w:t>
            </w:r>
          </w:p>
        </w:tc>
        <w:tc>
          <w:tcPr>
            <w:tcW w:w="771" w:type="pct"/>
            <w:shd w:val="clear" w:color="auto" w:fill="auto"/>
            <w:vAlign w:val="center"/>
          </w:tcPr>
          <w:p w14:paraId="3371ABE7">
            <w:pPr>
              <w:spacing w:line="360" w:lineRule="auto"/>
              <w:jc w:val="center"/>
              <w:rPr>
                <w:rFonts w:hint="eastAsia" w:ascii="仿宋" w:hAnsi="仿宋" w:eastAsia="仿宋" w:cs="仿宋"/>
                <w:bCs/>
                <w:kern w:val="2"/>
                <w:sz w:val="28"/>
                <w:szCs w:val="28"/>
                <w:lang w:val="en-US" w:eastAsia="zh-CN" w:bidi="ar-SA"/>
              </w:rPr>
            </w:pPr>
            <w:r>
              <w:rPr>
                <w:rFonts w:hint="eastAsia" w:ascii="仿宋" w:hAnsi="仿宋" w:eastAsia="仿宋" w:cs="仿宋"/>
                <w:bCs/>
                <w:sz w:val="28"/>
                <w:szCs w:val="28"/>
              </w:rPr>
              <w:t>无</w:t>
            </w:r>
          </w:p>
        </w:tc>
        <w:tc>
          <w:tcPr>
            <w:tcW w:w="791" w:type="pct"/>
            <w:vMerge w:val="continue"/>
            <w:vAlign w:val="center"/>
          </w:tcPr>
          <w:p w14:paraId="41AF0D5B">
            <w:pPr>
              <w:spacing w:line="380" w:lineRule="exact"/>
              <w:jc w:val="center"/>
              <w:rPr>
                <w:rFonts w:hint="eastAsia" w:ascii="仿宋" w:hAnsi="仿宋" w:eastAsia="仿宋" w:cs="仿宋"/>
                <w:bCs/>
                <w:sz w:val="28"/>
                <w:szCs w:val="28"/>
              </w:rPr>
            </w:pPr>
          </w:p>
        </w:tc>
      </w:tr>
      <w:tr w14:paraId="3C993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vAlign w:val="center"/>
          </w:tcPr>
          <w:p w14:paraId="3C3DB651">
            <w:pPr>
              <w:spacing w:line="360" w:lineRule="auto"/>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8</w:t>
            </w:r>
          </w:p>
        </w:tc>
        <w:tc>
          <w:tcPr>
            <w:tcW w:w="1904" w:type="pct"/>
            <w:shd w:val="clear" w:color="auto" w:fill="auto"/>
            <w:vAlign w:val="center"/>
          </w:tcPr>
          <w:p w14:paraId="69FD6CE5">
            <w:pPr>
              <w:spacing w:line="360" w:lineRule="auto"/>
              <w:jc w:val="center"/>
              <w:rPr>
                <w:rFonts w:hint="eastAsia" w:ascii="仿宋" w:hAnsi="仿宋" w:eastAsia="仿宋" w:cs="仿宋"/>
                <w:bCs/>
                <w:kern w:val="2"/>
                <w:sz w:val="28"/>
                <w:szCs w:val="28"/>
                <w:lang w:val="en-US" w:eastAsia="zh-CN" w:bidi="ar-SA"/>
              </w:rPr>
            </w:pPr>
            <w:r>
              <w:rPr>
                <w:rFonts w:hint="eastAsia" w:ascii="仿宋" w:hAnsi="仿宋" w:eastAsia="仿宋" w:cs="仿宋"/>
                <w:sz w:val="28"/>
                <w:szCs w:val="28"/>
              </w:rPr>
              <w:t>IT运维管理服务</w:t>
            </w:r>
          </w:p>
        </w:tc>
        <w:tc>
          <w:tcPr>
            <w:tcW w:w="474" w:type="pct"/>
            <w:shd w:val="clear" w:color="auto" w:fill="auto"/>
            <w:vAlign w:val="center"/>
          </w:tcPr>
          <w:p w14:paraId="3E95AA13">
            <w:pPr>
              <w:spacing w:line="360" w:lineRule="auto"/>
              <w:jc w:val="center"/>
              <w:rPr>
                <w:rFonts w:hint="eastAsia" w:ascii="仿宋" w:hAnsi="仿宋" w:eastAsia="仿宋" w:cs="仿宋"/>
                <w:bCs/>
                <w:kern w:val="2"/>
                <w:sz w:val="28"/>
                <w:szCs w:val="28"/>
                <w:lang w:val="en-US" w:eastAsia="zh-CN" w:bidi="ar-SA"/>
              </w:rPr>
            </w:pPr>
            <w:r>
              <w:rPr>
                <w:rFonts w:hint="eastAsia" w:ascii="仿宋" w:hAnsi="仿宋" w:eastAsia="仿宋" w:cs="仿宋"/>
                <w:bCs/>
                <w:sz w:val="28"/>
                <w:szCs w:val="28"/>
              </w:rPr>
              <w:t>1</w:t>
            </w:r>
          </w:p>
        </w:tc>
        <w:tc>
          <w:tcPr>
            <w:tcW w:w="537" w:type="pct"/>
            <w:shd w:val="clear" w:color="auto" w:fill="auto"/>
            <w:vAlign w:val="center"/>
          </w:tcPr>
          <w:p w14:paraId="719AA8C3">
            <w:pPr>
              <w:spacing w:line="360" w:lineRule="auto"/>
              <w:jc w:val="center"/>
              <w:rPr>
                <w:rFonts w:hint="eastAsia" w:ascii="仿宋" w:hAnsi="仿宋" w:eastAsia="仿宋" w:cs="仿宋"/>
                <w:bCs/>
                <w:kern w:val="2"/>
                <w:sz w:val="28"/>
                <w:szCs w:val="28"/>
                <w:lang w:val="en-US" w:eastAsia="zh-CN" w:bidi="ar-SA"/>
              </w:rPr>
            </w:pPr>
            <w:r>
              <w:rPr>
                <w:rFonts w:hint="eastAsia" w:ascii="仿宋" w:hAnsi="仿宋" w:eastAsia="仿宋" w:cs="仿宋"/>
                <w:bCs/>
                <w:sz w:val="28"/>
                <w:szCs w:val="28"/>
              </w:rPr>
              <w:t>项</w:t>
            </w:r>
          </w:p>
        </w:tc>
        <w:tc>
          <w:tcPr>
            <w:tcW w:w="771" w:type="pct"/>
            <w:shd w:val="clear" w:color="auto" w:fill="auto"/>
            <w:vAlign w:val="center"/>
          </w:tcPr>
          <w:p w14:paraId="503BD2D3">
            <w:pPr>
              <w:spacing w:line="360" w:lineRule="auto"/>
              <w:jc w:val="center"/>
              <w:rPr>
                <w:rFonts w:hint="eastAsia" w:ascii="仿宋" w:hAnsi="仿宋" w:eastAsia="仿宋" w:cs="仿宋"/>
                <w:bCs/>
                <w:kern w:val="2"/>
                <w:sz w:val="28"/>
                <w:szCs w:val="28"/>
                <w:lang w:val="en-US" w:eastAsia="zh-CN" w:bidi="ar-SA"/>
              </w:rPr>
            </w:pPr>
            <w:r>
              <w:rPr>
                <w:rFonts w:hint="eastAsia" w:ascii="仿宋" w:hAnsi="仿宋" w:eastAsia="仿宋" w:cs="仿宋"/>
                <w:bCs/>
                <w:sz w:val="28"/>
                <w:szCs w:val="28"/>
              </w:rPr>
              <w:t>无</w:t>
            </w:r>
          </w:p>
        </w:tc>
        <w:tc>
          <w:tcPr>
            <w:tcW w:w="791" w:type="pct"/>
            <w:vMerge w:val="continue"/>
            <w:vAlign w:val="center"/>
          </w:tcPr>
          <w:p w14:paraId="5EE830F1">
            <w:pPr>
              <w:spacing w:line="380" w:lineRule="exact"/>
              <w:jc w:val="center"/>
              <w:rPr>
                <w:rFonts w:hint="eastAsia" w:ascii="仿宋" w:hAnsi="仿宋" w:eastAsia="仿宋" w:cs="仿宋"/>
                <w:bCs/>
                <w:sz w:val="28"/>
                <w:szCs w:val="28"/>
              </w:rPr>
            </w:pPr>
          </w:p>
        </w:tc>
      </w:tr>
      <w:tr w14:paraId="1DE72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vAlign w:val="center"/>
          </w:tcPr>
          <w:p w14:paraId="2A9D43C3">
            <w:pPr>
              <w:spacing w:line="360" w:lineRule="auto"/>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9</w:t>
            </w:r>
          </w:p>
        </w:tc>
        <w:tc>
          <w:tcPr>
            <w:tcW w:w="1904" w:type="pct"/>
            <w:shd w:val="clear" w:color="auto" w:fill="auto"/>
            <w:vAlign w:val="center"/>
          </w:tcPr>
          <w:p w14:paraId="06436652">
            <w:pPr>
              <w:spacing w:line="36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机房巡检服务</w:t>
            </w:r>
          </w:p>
        </w:tc>
        <w:tc>
          <w:tcPr>
            <w:tcW w:w="474" w:type="pct"/>
            <w:shd w:val="clear" w:color="auto" w:fill="auto"/>
            <w:vAlign w:val="center"/>
          </w:tcPr>
          <w:p w14:paraId="23FCC848">
            <w:pPr>
              <w:spacing w:line="360" w:lineRule="auto"/>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w:t>
            </w:r>
          </w:p>
        </w:tc>
        <w:tc>
          <w:tcPr>
            <w:tcW w:w="537" w:type="pct"/>
            <w:shd w:val="clear" w:color="auto" w:fill="auto"/>
            <w:vAlign w:val="center"/>
          </w:tcPr>
          <w:p w14:paraId="370B9D24">
            <w:pPr>
              <w:spacing w:line="360" w:lineRule="auto"/>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项</w:t>
            </w:r>
          </w:p>
        </w:tc>
        <w:tc>
          <w:tcPr>
            <w:tcW w:w="771" w:type="pct"/>
            <w:shd w:val="clear" w:color="auto" w:fill="auto"/>
            <w:vAlign w:val="center"/>
          </w:tcPr>
          <w:p w14:paraId="28BFE4C8">
            <w:pPr>
              <w:spacing w:line="360" w:lineRule="auto"/>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无</w:t>
            </w:r>
          </w:p>
        </w:tc>
        <w:tc>
          <w:tcPr>
            <w:tcW w:w="791" w:type="pct"/>
            <w:vMerge w:val="continue"/>
            <w:vAlign w:val="center"/>
          </w:tcPr>
          <w:p w14:paraId="28A1BCB1">
            <w:pPr>
              <w:spacing w:line="380" w:lineRule="exact"/>
              <w:jc w:val="center"/>
              <w:rPr>
                <w:rFonts w:hint="eastAsia" w:ascii="仿宋" w:hAnsi="仿宋" w:eastAsia="仿宋" w:cs="仿宋"/>
                <w:bCs/>
                <w:sz w:val="28"/>
                <w:szCs w:val="28"/>
              </w:rPr>
            </w:pPr>
          </w:p>
        </w:tc>
      </w:tr>
    </w:tbl>
    <w:p w14:paraId="6A8C88E4">
      <w:pPr>
        <w:rPr>
          <w:rFonts w:hint="eastAsia"/>
          <w:lang w:val="en-US" w:eastAsia="zh-CN"/>
        </w:rPr>
      </w:pPr>
      <w:r>
        <w:rPr>
          <w:rFonts w:hint="eastAsia"/>
          <w:lang w:val="en-US" w:eastAsia="zh-CN"/>
        </w:rPr>
        <w:br w:type="page"/>
      </w:r>
    </w:p>
    <w:p w14:paraId="0DE8E4AA">
      <w:pPr>
        <w:pStyle w:val="4"/>
        <w:numPr>
          <w:ilvl w:val="0"/>
          <w:numId w:val="2"/>
        </w:numPr>
        <w:bidi w:val="0"/>
        <w:rPr>
          <w:rFonts w:hint="eastAsia"/>
          <w:lang w:val="en-US" w:eastAsia="zh-CN"/>
        </w:rPr>
      </w:pPr>
      <w:r>
        <w:rPr>
          <w:rFonts w:hint="eastAsia" w:eastAsia="宋体"/>
        </w:rPr>
        <w:t>项目建设内容</w:t>
      </w:r>
    </w:p>
    <w:p w14:paraId="16F72ACD">
      <w:pPr>
        <w:ind w:firstLine="480"/>
        <w:rPr>
          <w:rFonts w:hint="eastAsia"/>
          <w:lang w:val="en-US" w:eastAsia="zh-CN"/>
        </w:rPr>
      </w:pPr>
      <w:r>
        <w:rPr>
          <w:rFonts w:hint="eastAsia" w:ascii="宋体" w:hAnsi="宋体" w:eastAsia="宋体" w:cs="Times New Roman"/>
          <w:color w:val="auto"/>
          <w:szCs w:val="24"/>
          <w:lang w:val="en-US" w:eastAsia="zh-CN"/>
        </w:rPr>
        <w:t>外包服务项目内容详细见下表：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1339"/>
        <w:gridCol w:w="6133"/>
      </w:tblGrid>
      <w:tr w14:paraId="78939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14:paraId="4A87BF7E">
            <w:pPr>
              <w:spacing w:line="360" w:lineRule="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序号</w:t>
            </w:r>
          </w:p>
        </w:tc>
        <w:tc>
          <w:tcPr>
            <w:tcW w:w="1339" w:type="dxa"/>
            <w:vAlign w:val="center"/>
          </w:tcPr>
          <w:p w14:paraId="75DE8751">
            <w:pPr>
              <w:spacing w:line="360" w:lineRule="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服务名称</w:t>
            </w:r>
          </w:p>
        </w:tc>
        <w:tc>
          <w:tcPr>
            <w:tcW w:w="6133" w:type="dxa"/>
            <w:vAlign w:val="center"/>
          </w:tcPr>
          <w:p w14:paraId="6B48C64F">
            <w:pPr>
              <w:spacing w:line="360" w:lineRule="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招标技术要求</w:t>
            </w:r>
          </w:p>
        </w:tc>
      </w:tr>
      <w:tr w14:paraId="4813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restart"/>
            <w:vAlign w:val="center"/>
          </w:tcPr>
          <w:p w14:paraId="0951851D">
            <w:pPr>
              <w:spacing w:line="360" w:lineRule="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1339" w:type="dxa"/>
            <w:vMerge w:val="restart"/>
            <w:vAlign w:val="center"/>
          </w:tcPr>
          <w:p w14:paraId="3BD0AC5E">
            <w:pPr>
              <w:spacing w:line="360" w:lineRule="auto"/>
              <w:rPr>
                <w:rFonts w:hint="eastAsia" w:ascii="仿宋" w:hAnsi="仿宋" w:eastAsia="仿宋" w:cs="仿宋"/>
                <w:color w:val="000000"/>
                <w:kern w:val="0"/>
                <w:sz w:val="28"/>
                <w:szCs w:val="28"/>
              </w:rPr>
            </w:pPr>
            <w:r>
              <w:rPr>
                <w:rFonts w:hint="eastAsia" w:ascii="仿宋" w:hAnsi="仿宋" w:eastAsia="仿宋" w:cs="仿宋"/>
                <w:sz w:val="28"/>
                <w:szCs w:val="28"/>
              </w:rPr>
              <w:t>运行维护范围</w:t>
            </w:r>
          </w:p>
        </w:tc>
        <w:tc>
          <w:tcPr>
            <w:tcW w:w="6133" w:type="dxa"/>
          </w:tcPr>
          <w:p w14:paraId="4E8358D8">
            <w:pPr>
              <w:spacing w:line="360" w:lineRule="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w:t>
            </w:r>
            <w:r>
              <w:rPr>
                <w:rFonts w:hint="eastAsia" w:ascii="仿宋" w:hAnsi="仿宋" w:eastAsia="仿宋" w:cs="仿宋"/>
                <w:b/>
                <w:sz w:val="28"/>
                <w:szCs w:val="28"/>
              </w:rPr>
              <w:t>计算机设备维护：</w:t>
            </w:r>
            <w:r>
              <w:rPr>
                <w:rFonts w:hint="eastAsia" w:ascii="仿宋" w:hAnsi="仿宋" w:eastAsia="仿宋" w:cs="仿宋"/>
                <w:sz w:val="28"/>
                <w:szCs w:val="28"/>
              </w:rPr>
              <w:t>对医院</w:t>
            </w:r>
            <w:r>
              <w:rPr>
                <w:rFonts w:hint="eastAsia" w:ascii="仿宋" w:hAnsi="仿宋" w:eastAsia="仿宋" w:cs="仿宋"/>
                <w:sz w:val="28"/>
                <w:szCs w:val="28"/>
                <w:lang w:val="en-US" w:eastAsia="zh-CN"/>
              </w:rPr>
              <w:t>现有</w:t>
            </w:r>
            <w:r>
              <w:rPr>
                <w:rFonts w:hint="eastAsia" w:ascii="仿宋" w:hAnsi="仿宋" w:eastAsia="仿宋" w:cs="仿宋"/>
                <w:sz w:val="28"/>
                <w:szCs w:val="28"/>
              </w:rPr>
              <w:t>约1600台各种型号台式计算机</w:t>
            </w:r>
            <w:r>
              <w:rPr>
                <w:rFonts w:hint="eastAsia" w:ascii="仿宋" w:hAnsi="仿宋" w:eastAsia="仿宋" w:cs="仿宋"/>
                <w:sz w:val="28"/>
                <w:szCs w:val="28"/>
                <w:lang w:val="en-US" w:eastAsia="zh-CN"/>
              </w:rPr>
              <w:t>以及新大楼预计2025年底投入使用是将新增500台信创电脑</w:t>
            </w:r>
            <w:r>
              <w:rPr>
                <w:rFonts w:hint="eastAsia" w:ascii="仿宋" w:hAnsi="仿宋" w:eastAsia="仿宋" w:cs="仿宋"/>
                <w:sz w:val="28"/>
                <w:szCs w:val="28"/>
              </w:rPr>
              <w:t>(含笔记本、显示器)进行日常维护（不包含医疗专业系统的软硬件以及信息机房内服务器和网络等设备的维护）、故障修复、配件更换，以及在保期内电脑的维护管理服务，确保医院计算机故障及时修复和正常运行。</w:t>
            </w:r>
          </w:p>
        </w:tc>
      </w:tr>
      <w:tr w14:paraId="0817C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tcPr>
          <w:p w14:paraId="250658AF">
            <w:pPr>
              <w:spacing w:line="360" w:lineRule="auto"/>
              <w:rPr>
                <w:rFonts w:hint="eastAsia" w:ascii="仿宋" w:hAnsi="仿宋" w:eastAsia="仿宋" w:cs="仿宋"/>
                <w:color w:val="000000"/>
                <w:kern w:val="0"/>
                <w:sz w:val="28"/>
                <w:szCs w:val="28"/>
              </w:rPr>
            </w:pPr>
          </w:p>
        </w:tc>
        <w:tc>
          <w:tcPr>
            <w:tcW w:w="1339" w:type="dxa"/>
            <w:vMerge w:val="continue"/>
          </w:tcPr>
          <w:p w14:paraId="0953DDC7">
            <w:pPr>
              <w:spacing w:line="360" w:lineRule="auto"/>
              <w:rPr>
                <w:rFonts w:hint="eastAsia" w:ascii="仿宋" w:hAnsi="仿宋" w:eastAsia="仿宋" w:cs="仿宋"/>
                <w:color w:val="000000"/>
                <w:kern w:val="0"/>
                <w:sz w:val="28"/>
                <w:szCs w:val="28"/>
              </w:rPr>
            </w:pPr>
          </w:p>
        </w:tc>
        <w:tc>
          <w:tcPr>
            <w:tcW w:w="6133" w:type="dxa"/>
            <w:vAlign w:val="center"/>
          </w:tcPr>
          <w:p w14:paraId="14588C3F">
            <w:pPr>
              <w:spacing w:line="360" w:lineRule="auto"/>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1.2、</w:t>
            </w:r>
            <w:r>
              <w:rPr>
                <w:rFonts w:hint="eastAsia" w:ascii="仿宋" w:hAnsi="仿宋" w:eastAsia="仿宋" w:cs="仿宋"/>
                <w:b/>
                <w:bCs/>
                <w:color w:val="000000"/>
                <w:kern w:val="0"/>
                <w:sz w:val="28"/>
                <w:szCs w:val="28"/>
                <w:lang w:val="en-US" w:eastAsia="zh-CN"/>
              </w:rPr>
              <w:t>打印机维护：</w:t>
            </w:r>
            <w:r>
              <w:rPr>
                <w:rFonts w:hint="eastAsia" w:ascii="仿宋" w:hAnsi="仿宋" w:eastAsia="仿宋" w:cs="仿宋"/>
                <w:sz w:val="28"/>
                <w:szCs w:val="28"/>
              </w:rPr>
              <w:t>医院现有打印设备约</w:t>
            </w:r>
            <w:r>
              <w:rPr>
                <w:rFonts w:hint="eastAsia" w:ascii="仿宋" w:hAnsi="仿宋" w:eastAsia="仿宋" w:cs="仿宋"/>
                <w:sz w:val="28"/>
                <w:szCs w:val="28"/>
                <w:lang w:val="en-US" w:eastAsia="zh-CN"/>
              </w:rPr>
              <w:t>900多</w:t>
            </w:r>
            <w:r>
              <w:rPr>
                <w:rFonts w:hint="eastAsia" w:ascii="仿宋" w:hAnsi="仿宋" w:eastAsia="仿宋" w:cs="仿宋"/>
                <w:sz w:val="28"/>
                <w:szCs w:val="28"/>
              </w:rPr>
              <w:t>台，新大楼预计２０２５年底投入使用，届时将新增约</w:t>
            </w:r>
            <w:r>
              <w:rPr>
                <w:rFonts w:hint="eastAsia" w:ascii="仿宋" w:hAnsi="仿宋" w:eastAsia="仿宋" w:cs="仿宋"/>
                <w:sz w:val="28"/>
                <w:szCs w:val="28"/>
                <w:lang w:val="en-US" w:eastAsia="zh-CN"/>
              </w:rPr>
              <w:t>150</w:t>
            </w:r>
            <w:r>
              <w:rPr>
                <w:rFonts w:hint="eastAsia" w:ascii="仿宋" w:hAnsi="仿宋" w:eastAsia="仿宋" w:cs="仿宋"/>
                <w:sz w:val="28"/>
                <w:szCs w:val="28"/>
              </w:rPr>
              <w:t>台打印设备，综合实施智能运维、维护维修，保证医院所有打印设备的正常运行。</w:t>
            </w:r>
          </w:p>
        </w:tc>
      </w:tr>
      <w:tr w14:paraId="09876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tcPr>
          <w:p w14:paraId="7C45B410">
            <w:pPr>
              <w:spacing w:line="360" w:lineRule="auto"/>
              <w:rPr>
                <w:rFonts w:hint="eastAsia" w:ascii="仿宋" w:hAnsi="仿宋" w:eastAsia="仿宋" w:cs="仿宋"/>
                <w:color w:val="000000"/>
                <w:kern w:val="0"/>
                <w:sz w:val="28"/>
                <w:szCs w:val="28"/>
              </w:rPr>
            </w:pPr>
          </w:p>
        </w:tc>
        <w:tc>
          <w:tcPr>
            <w:tcW w:w="1339" w:type="dxa"/>
            <w:vMerge w:val="continue"/>
          </w:tcPr>
          <w:p w14:paraId="3436CF5C">
            <w:pPr>
              <w:spacing w:line="360" w:lineRule="auto"/>
              <w:rPr>
                <w:rFonts w:hint="eastAsia" w:ascii="仿宋" w:hAnsi="仿宋" w:eastAsia="仿宋" w:cs="仿宋"/>
                <w:color w:val="000000"/>
                <w:kern w:val="0"/>
                <w:sz w:val="28"/>
                <w:szCs w:val="28"/>
              </w:rPr>
            </w:pPr>
          </w:p>
        </w:tc>
        <w:tc>
          <w:tcPr>
            <w:tcW w:w="6133" w:type="dxa"/>
            <w:vAlign w:val="center"/>
          </w:tcPr>
          <w:p w14:paraId="57114F4B">
            <w:pPr>
              <w:spacing w:line="360" w:lineRule="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w:t>
            </w:r>
            <w:r>
              <w:rPr>
                <w:rFonts w:hint="eastAsia" w:ascii="仿宋" w:hAnsi="仿宋" w:eastAsia="仿宋" w:cs="仿宋"/>
                <w:b/>
                <w:sz w:val="28"/>
                <w:szCs w:val="28"/>
              </w:rPr>
              <w:t>其它信息终端维护：</w:t>
            </w:r>
            <w:r>
              <w:rPr>
                <w:rFonts w:hint="eastAsia" w:ascii="仿宋" w:hAnsi="仿宋" w:eastAsia="仿宋" w:cs="仿宋"/>
                <w:sz w:val="28"/>
                <w:szCs w:val="28"/>
              </w:rPr>
              <w:t>对医院的PDA、移动护理车200</w:t>
            </w:r>
            <w:r>
              <w:rPr>
                <w:rFonts w:hint="eastAsia" w:ascii="仿宋" w:hAnsi="仿宋" w:eastAsia="仿宋" w:cs="仿宋"/>
                <w:sz w:val="28"/>
                <w:szCs w:val="28"/>
                <w:lang w:val="en-US" w:eastAsia="zh-CN"/>
              </w:rPr>
              <w:t>余</w:t>
            </w:r>
            <w:r>
              <w:rPr>
                <w:rFonts w:hint="eastAsia" w:ascii="仿宋" w:hAnsi="仿宋" w:eastAsia="仿宋" w:cs="仿宋"/>
                <w:sz w:val="28"/>
                <w:szCs w:val="28"/>
              </w:rPr>
              <w:t>台设备，实施日常维护、故障修复、配件（不含移动护理车电池）更换（人为故意损坏或雷电，地震等不可抗力引起的损坏除外）等内容外包服务，以及在保期内PDA、移动护理车设备的维护管理，保证医院PDA、移动护理车的故障及时修复和正常运行。</w:t>
            </w:r>
          </w:p>
        </w:tc>
      </w:tr>
      <w:tr w14:paraId="75F3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tcPr>
          <w:p w14:paraId="26278278">
            <w:pPr>
              <w:spacing w:line="360" w:lineRule="auto"/>
              <w:rPr>
                <w:rFonts w:hint="eastAsia" w:ascii="仿宋" w:hAnsi="仿宋" w:eastAsia="仿宋" w:cs="仿宋"/>
                <w:color w:val="000000"/>
                <w:kern w:val="0"/>
                <w:sz w:val="28"/>
                <w:szCs w:val="28"/>
              </w:rPr>
            </w:pPr>
          </w:p>
        </w:tc>
        <w:tc>
          <w:tcPr>
            <w:tcW w:w="1339" w:type="dxa"/>
            <w:vMerge w:val="continue"/>
          </w:tcPr>
          <w:p w14:paraId="203468B7">
            <w:pPr>
              <w:spacing w:line="360" w:lineRule="auto"/>
              <w:rPr>
                <w:rFonts w:hint="eastAsia" w:ascii="仿宋" w:hAnsi="仿宋" w:eastAsia="仿宋" w:cs="仿宋"/>
                <w:color w:val="000000"/>
                <w:kern w:val="0"/>
                <w:sz w:val="28"/>
                <w:szCs w:val="28"/>
              </w:rPr>
            </w:pPr>
          </w:p>
        </w:tc>
        <w:tc>
          <w:tcPr>
            <w:tcW w:w="6133" w:type="dxa"/>
            <w:vAlign w:val="center"/>
          </w:tcPr>
          <w:p w14:paraId="737C4FAD">
            <w:pPr>
              <w:spacing w:line="360" w:lineRule="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rPr>
              <w:t>、</w:t>
            </w:r>
            <w:r>
              <w:rPr>
                <w:rFonts w:hint="eastAsia" w:ascii="仿宋" w:hAnsi="仿宋" w:eastAsia="仿宋" w:cs="仿宋"/>
                <w:b/>
                <w:sz w:val="28"/>
                <w:szCs w:val="28"/>
              </w:rPr>
              <w:t>基础网络维护：</w:t>
            </w:r>
            <w:r>
              <w:rPr>
                <w:rFonts w:hint="eastAsia" w:ascii="仿宋" w:hAnsi="仿宋" w:eastAsia="仿宋" w:cs="仿宋"/>
                <w:sz w:val="28"/>
                <w:szCs w:val="28"/>
              </w:rPr>
              <w:t>对医院的桌面端网络故障进行处理，包括如终端网络故障现场检查、IP错误、IP冲突等桌面网络的基础故障处理，以及</w:t>
            </w:r>
            <w:r>
              <w:rPr>
                <w:rFonts w:hint="eastAsia" w:ascii="仿宋" w:hAnsi="仿宋" w:eastAsia="仿宋" w:cs="仿宋"/>
                <w:sz w:val="28"/>
                <w:szCs w:val="28"/>
                <w:lang w:val="en-US" w:eastAsia="zh-CN"/>
              </w:rPr>
              <w:t>机房、</w:t>
            </w:r>
            <w:r>
              <w:rPr>
                <w:rFonts w:hint="eastAsia" w:ascii="仿宋" w:hAnsi="仿宋" w:eastAsia="仿宋" w:cs="仿宋"/>
                <w:sz w:val="28"/>
                <w:szCs w:val="28"/>
              </w:rPr>
              <w:t>弱电间的日常网络设备巡检查等；</w:t>
            </w:r>
          </w:p>
        </w:tc>
      </w:tr>
      <w:tr w14:paraId="071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tcPr>
          <w:p w14:paraId="57EC79E4">
            <w:pPr>
              <w:spacing w:line="360" w:lineRule="auto"/>
              <w:rPr>
                <w:rFonts w:hint="eastAsia" w:ascii="仿宋" w:hAnsi="仿宋" w:eastAsia="仿宋" w:cs="仿宋"/>
                <w:color w:val="000000"/>
                <w:kern w:val="0"/>
                <w:sz w:val="28"/>
                <w:szCs w:val="28"/>
              </w:rPr>
            </w:pPr>
          </w:p>
        </w:tc>
        <w:tc>
          <w:tcPr>
            <w:tcW w:w="1339" w:type="dxa"/>
            <w:vMerge w:val="continue"/>
          </w:tcPr>
          <w:p w14:paraId="3C5C291E">
            <w:pPr>
              <w:spacing w:line="360" w:lineRule="auto"/>
              <w:rPr>
                <w:rFonts w:hint="eastAsia" w:ascii="仿宋" w:hAnsi="仿宋" w:eastAsia="仿宋" w:cs="仿宋"/>
                <w:color w:val="000000"/>
                <w:kern w:val="0"/>
                <w:sz w:val="28"/>
                <w:szCs w:val="28"/>
              </w:rPr>
            </w:pPr>
          </w:p>
        </w:tc>
        <w:tc>
          <w:tcPr>
            <w:tcW w:w="6133" w:type="dxa"/>
            <w:vAlign w:val="center"/>
          </w:tcPr>
          <w:p w14:paraId="30BD0CD5">
            <w:p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1.5、</w:t>
            </w:r>
            <w:r>
              <w:rPr>
                <w:rFonts w:hint="eastAsia" w:ascii="仿宋" w:hAnsi="仿宋" w:eastAsia="仿宋" w:cs="仿宋"/>
                <w:b/>
                <w:bCs/>
                <w:sz w:val="28"/>
                <w:szCs w:val="28"/>
                <w:lang w:val="en-US" w:eastAsia="zh-CN"/>
              </w:rPr>
              <w:t>定期设备保养服务：</w:t>
            </w:r>
            <w:r>
              <w:rPr>
                <w:rFonts w:hint="eastAsia" w:ascii="仿宋" w:hAnsi="仿宋" w:eastAsia="仿宋" w:cs="仿宋"/>
                <w:b w:val="0"/>
                <w:bCs w:val="0"/>
                <w:sz w:val="28"/>
                <w:szCs w:val="28"/>
                <w:lang w:val="en-US" w:eastAsia="zh-CN"/>
              </w:rPr>
              <w:t>定期</w:t>
            </w:r>
            <w:r>
              <w:rPr>
                <w:rFonts w:hint="eastAsia" w:ascii="仿宋" w:hAnsi="仿宋" w:eastAsia="仿宋" w:cs="仿宋"/>
                <w:sz w:val="28"/>
                <w:szCs w:val="28"/>
                <w:lang w:val="en-US" w:eastAsia="zh-CN"/>
              </w:rPr>
              <w:t>针对直接面向病患（如收费窗口，诊室）、承载业务交互的终端设备（如台式电脑、笔记本、瘦客户机、自助终端等），通过周期性、标准化的检查、维护、优化及安全加固，预防设备故障、保障运行稳定、延长使用寿命、提升用户体验的专业服务。</w:t>
            </w:r>
          </w:p>
        </w:tc>
      </w:tr>
      <w:tr w14:paraId="33B6E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tcPr>
          <w:p w14:paraId="0CBB6889">
            <w:pPr>
              <w:spacing w:line="360" w:lineRule="auto"/>
              <w:rPr>
                <w:rFonts w:hint="eastAsia" w:ascii="仿宋" w:hAnsi="仿宋" w:eastAsia="仿宋" w:cs="仿宋"/>
                <w:color w:val="000000"/>
                <w:kern w:val="0"/>
                <w:sz w:val="28"/>
                <w:szCs w:val="28"/>
              </w:rPr>
            </w:pPr>
          </w:p>
        </w:tc>
        <w:tc>
          <w:tcPr>
            <w:tcW w:w="1339" w:type="dxa"/>
            <w:vMerge w:val="continue"/>
          </w:tcPr>
          <w:p w14:paraId="7FAE5C96">
            <w:pPr>
              <w:spacing w:line="360" w:lineRule="auto"/>
              <w:rPr>
                <w:rFonts w:hint="eastAsia" w:ascii="仿宋" w:hAnsi="仿宋" w:eastAsia="仿宋" w:cs="仿宋"/>
                <w:color w:val="000000"/>
                <w:kern w:val="0"/>
                <w:sz w:val="28"/>
                <w:szCs w:val="28"/>
              </w:rPr>
            </w:pPr>
          </w:p>
        </w:tc>
        <w:tc>
          <w:tcPr>
            <w:tcW w:w="6133" w:type="dxa"/>
            <w:vAlign w:val="center"/>
          </w:tcPr>
          <w:p w14:paraId="1379AD8B">
            <w:pPr>
              <w:spacing w:line="360" w:lineRule="auto"/>
              <w:rPr>
                <w:rFonts w:hint="eastAsia" w:ascii="仿宋" w:hAnsi="仿宋" w:eastAsia="仿宋" w:cs="仿宋"/>
                <w:b/>
                <w:bCs/>
                <w:sz w:val="28"/>
                <w:szCs w:val="28"/>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6</w:t>
            </w:r>
            <w:r>
              <w:rPr>
                <w:rFonts w:hint="eastAsia" w:ascii="仿宋" w:hAnsi="仿宋" w:eastAsia="仿宋" w:cs="仿宋"/>
                <w:color w:val="000000"/>
                <w:kern w:val="0"/>
                <w:sz w:val="28"/>
                <w:szCs w:val="28"/>
              </w:rPr>
              <w:t>、</w:t>
            </w:r>
            <w:r>
              <w:rPr>
                <w:rFonts w:hint="eastAsia" w:ascii="仿宋" w:hAnsi="仿宋" w:eastAsia="仿宋" w:cs="仿宋"/>
                <w:b/>
                <w:bCs/>
                <w:sz w:val="28"/>
                <w:szCs w:val="28"/>
              </w:rPr>
              <w:t>咨询规划服务：</w:t>
            </w:r>
          </w:p>
          <w:p w14:paraId="72A90C6E">
            <w:pPr>
              <w:spacing w:line="360" w:lineRule="auto"/>
              <w:jc w:val="left"/>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6</w:t>
            </w:r>
            <w:r>
              <w:rPr>
                <w:rFonts w:hint="eastAsia" w:ascii="仿宋" w:hAnsi="仿宋" w:eastAsia="仿宋" w:cs="仿宋"/>
                <w:sz w:val="28"/>
                <w:szCs w:val="28"/>
              </w:rPr>
              <w:t>.1协助进行医院服务资产的全面梳理、帮助建立医院运维知识库，网络拓扑、资产明细、事件记录、设备互联情况等文档输出，提供保障系统稳定运行必要的技术资料；</w:t>
            </w:r>
          </w:p>
          <w:p w14:paraId="7F2799E7">
            <w:pPr>
              <w:spacing w:line="360" w:lineRule="auto"/>
              <w:jc w:val="left"/>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6</w:t>
            </w:r>
            <w:r>
              <w:rPr>
                <w:rFonts w:hint="eastAsia" w:ascii="仿宋" w:hAnsi="仿宋" w:eastAsia="仿宋" w:cs="仿宋"/>
                <w:sz w:val="28"/>
                <w:szCs w:val="28"/>
              </w:rPr>
              <w:t>.2确保医院IT基础架构技术的合理性、实用性、安全性，给出整改优化建议，随时接受院方的技术咨询；</w:t>
            </w:r>
          </w:p>
          <w:p w14:paraId="5E9EBA78">
            <w:pPr>
              <w:spacing w:line="360" w:lineRule="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6</w:t>
            </w:r>
            <w:r>
              <w:rPr>
                <w:rFonts w:hint="eastAsia" w:ascii="仿宋" w:hAnsi="仿宋" w:eastAsia="仿宋" w:cs="仿宋"/>
                <w:sz w:val="28"/>
                <w:szCs w:val="28"/>
              </w:rPr>
              <w:t>.3对医院网络信息系统的需求变化与客户展开密切合作，协助对医院网络及信息系统进行完善的设计和实施；协助新系统上线部署与相关测试等。</w:t>
            </w:r>
          </w:p>
        </w:tc>
      </w:tr>
      <w:tr w14:paraId="4D9CA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7" w:hRule="atLeast"/>
          <w:jc w:val="center"/>
        </w:trPr>
        <w:tc>
          <w:tcPr>
            <w:tcW w:w="1049" w:type="dxa"/>
            <w:vMerge w:val="continue"/>
          </w:tcPr>
          <w:p w14:paraId="6F5A9046">
            <w:pPr>
              <w:spacing w:line="360" w:lineRule="auto"/>
              <w:rPr>
                <w:rFonts w:hint="eastAsia" w:ascii="仿宋" w:hAnsi="仿宋" w:eastAsia="仿宋" w:cs="仿宋"/>
                <w:color w:val="000000"/>
                <w:kern w:val="0"/>
                <w:sz w:val="28"/>
                <w:szCs w:val="28"/>
              </w:rPr>
            </w:pPr>
          </w:p>
        </w:tc>
        <w:tc>
          <w:tcPr>
            <w:tcW w:w="1339" w:type="dxa"/>
            <w:vMerge w:val="continue"/>
          </w:tcPr>
          <w:p w14:paraId="4F9B9721">
            <w:pPr>
              <w:spacing w:line="360" w:lineRule="auto"/>
              <w:rPr>
                <w:rFonts w:hint="eastAsia" w:ascii="仿宋" w:hAnsi="仿宋" w:eastAsia="仿宋" w:cs="仿宋"/>
                <w:color w:val="000000"/>
                <w:kern w:val="0"/>
                <w:sz w:val="28"/>
                <w:szCs w:val="28"/>
              </w:rPr>
            </w:pPr>
          </w:p>
        </w:tc>
        <w:tc>
          <w:tcPr>
            <w:tcW w:w="6133" w:type="dxa"/>
            <w:vAlign w:val="center"/>
          </w:tcPr>
          <w:p w14:paraId="7B3E3716">
            <w:p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1.7、应急响应服务：</w:t>
            </w:r>
            <w:r>
              <w:rPr>
                <w:rFonts w:hint="eastAsia" w:ascii="仿宋" w:hAnsi="仿宋" w:eastAsia="仿宋" w:cs="仿宋"/>
              </w:rPr>
              <w:t>由于</w:t>
            </w:r>
            <w:r>
              <w:rPr>
                <w:rFonts w:hint="eastAsia" w:ascii="仿宋" w:hAnsi="仿宋" w:eastAsia="仿宋" w:cs="仿宋"/>
                <w:lang w:val="en-US" w:eastAsia="zh-CN"/>
              </w:rPr>
              <w:t>院</w:t>
            </w:r>
            <w:r>
              <w:rPr>
                <w:rFonts w:hint="eastAsia" w:ascii="仿宋" w:hAnsi="仿宋" w:eastAsia="仿宋" w:cs="仿宋"/>
              </w:rPr>
              <w:t>方提供 7×24 小时公众服务，本项目要求</w:t>
            </w:r>
            <w:r>
              <w:rPr>
                <w:rFonts w:hint="eastAsia" w:ascii="仿宋" w:hAnsi="仿宋" w:eastAsia="仿宋" w:cs="仿宋"/>
                <w:lang w:val="en-US" w:eastAsia="zh-CN"/>
              </w:rPr>
              <w:t>服务</w:t>
            </w:r>
            <w:r>
              <w:rPr>
                <w:rFonts w:hint="eastAsia" w:ascii="仿宋" w:hAnsi="仿宋" w:eastAsia="仿宋" w:cs="仿宋"/>
              </w:rPr>
              <w:t>方能对</w:t>
            </w:r>
            <w:r>
              <w:rPr>
                <w:rFonts w:hint="eastAsia" w:ascii="仿宋" w:hAnsi="仿宋" w:eastAsia="仿宋" w:cs="仿宋"/>
                <w:lang w:val="en-US" w:eastAsia="zh-CN"/>
              </w:rPr>
              <w:t>院</w:t>
            </w:r>
            <w:r>
              <w:rPr>
                <w:rFonts w:hint="eastAsia" w:ascii="仿宋" w:hAnsi="仿宋" w:eastAsia="仿宋" w:cs="仿宋"/>
              </w:rPr>
              <w:t>方出现的偶发性严重硬件故障（如网络、服务器、存储）提供及时的应急响应服务。除现场驻点服务人员外，要求</w:t>
            </w:r>
            <w:r>
              <w:rPr>
                <w:rFonts w:hint="eastAsia" w:ascii="仿宋" w:hAnsi="仿宋" w:eastAsia="仿宋" w:cs="仿宋"/>
                <w:lang w:val="en-US" w:eastAsia="zh-CN"/>
              </w:rPr>
              <w:t>服务</w:t>
            </w:r>
            <w:r>
              <w:rPr>
                <w:rFonts w:hint="eastAsia" w:ascii="仿宋" w:hAnsi="仿宋" w:eastAsia="仿宋" w:cs="仿宋"/>
              </w:rPr>
              <w:t>方要有较强的应急支撑技术团队，具备数据中心IT基础设施整体响应能力，确保遇到重大故障时能及时协助解决问题。</w:t>
            </w:r>
          </w:p>
        </w:tc>
      </w:tr>
      <w:tr w14:paraId="1958C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tcPr>
          <w:p w14:paraId="22C22849">
            <w:pPr>
              <w:spacing w:line="360" w:lineRule="auto"/>
              <w:rPr>
                <w:rFonts w:hint="eastAsia" w:ascii="仿宋" w:hAnsi="仿宋" w:eastAsia="仿宋" w:cs="仿宋"/>
                <w:color w:val="000000"/>
                <w:kern w:val="0"/>
                <w:sz w:val="28"/>
                <w:szCs w:val="28"/>
              </w:rPr>
            </w:pPr>
          </w:p>
        </w:tc>
        <w:tc>
          <w:tcPr>
            <w:tcW w:w="1339" w:type="dxa"/>
            <w:vMerge w:val="continue"/>
          </w:tcPr>
          <w:p w14:paraId="1F1259E6">
            <w:pPr>
              <w:spacing w:line="360" w:lineRule="auto"/>
              <w:rPr>
                <w:rFonts w:hint="eastAsia" w:ascii="仿宋" w:hAnsi="仿宋" w:eastAsia="仿宋" w:cs="仿宋"/>
                <w:color w:val="000000"/>
                <w:kern w:val="0"/>
                <w:sz w:val="28"/>
                <w:szCs w:val="28"/>
              </w:rPr>
            </w:pPr>
          </w:p>
        </w:tc>
        <w:tc>
          <w:tcPr>
            <w:tcW w:w="6133" w:type="dxa"/>
            <w:vAlign w:val="center"/>
          </w:tcPr>
          <w:p w14:paraId="7D6AB4FE">
            <w:pPr>
              <w:spacing w:line="360" w:lineRule="auto"/>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1.8、IT运维管理服务</w:t>
            </w:r>
            <w:r>
              <w:rPr>
                <w:rFonts w:hint="eastAsia" w:ascii="仿宋" w:hAnsi="仿宋" w:eastAsia="仿宋" w:cs="仿宋"/>
                <w:sz w:val="28"/>
                <w:szCs w:val="28"/>
                <w:lang w:val="en-US" w:eastAsia="zh-CN"/>
              </w:rPr>
              <w:t>：为了优化服务流程，有效管控服务过程，具有持续改进管理措施，本项目要求服务方按需为采购方免费提供一套IT运维服务管理系统，实现IT服务的全流程管理和服务质量保障，提供基于ITIL（信息技术基础架构库）管理标准的IT运维服务。通过部署管理系统，建立统一的工单服务平台。</w:t>
            </w:r>
          </w:p>
        </w:tc>
      </w:tr>
      <w:tr w14:paraId="5EEF7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tcPr>
          <w:p w14:paraId="1B8CC6F9">
            <w:pPr>
              <w:spacing w:line="360" w:lineRule="auto"/>
              <w:rPr>
                <w:rFonts w:hint="eastAsia" w:ascii="仿宋" w:hAnsi="仿宋" w:eastAsia="仿宋" w:cs="仿宋"/>
                <w:color w:val="000000"/>
                <w:kern w:val="0"/>
                <w:sz w:val="28"/>
                <w:szCs w:val="28"/>
              </w:rPr>
            </w:pPr>
          </w:p>
        </w:tc>
        <w:tc>
          <w:tcPr>
            <w:tcW w:w="1339" w:type="dxa"/>
            <w:vMerge w:val="continue"/>
          </w:tcPr>
          <w:p w14:paraId="61B3C7B2">
            <w:pPr>
              <w:spacing w:line="360" w:lineRule="auto"/>
              <w:rPr>
                <w:rFonts w:hint="eastAsia" w:ascii="仿宋" w:hAnsi="仿宋" w:eastAsia="仿宋" w:cs="仿宋"/>
                <w:color w:val="000000"/>
                <w:kern w:val="0"/>
                <w:sz w:val="28"/>
                <w:szCs w:val="28"/>
              </w:rPr>
            </w:pPr>
          </w:p>
        </w:tc>
        <w:tc>
          <w:tcPr>
            <w:tcW w:w="6133" w:type="dxa"/>
            <w:vAlign w:val="center"/>
          </w:tcPr>
          <w:p w14:paraId="520846E8">
            <w:pPr>
              <w:spacing w:line="360" w:lineRule="auto"/>
              <w:rPr>
                <w:rFonts w:hint="default" w:ascii="仿宋" w:hAnsi="仿宋" w:eastAsia="仿宋" w:cs="仿宋"/>
                <w:color w:val="000000"/>
                <w:kern w:val="0"/>
                <w:sz w:val="28"/>
                <w:szCs w:val="28"/>
                <w:lang w:val="en-US" w:eastAsia="zh-CN"/>
              </w:rPr>
            </w:pPr>
            <w:r>
              <w:rPr>
                <w:rFonts w:hint="eastAsia" w:ascii="仿宋" w:hAnsi="仿宋" w:eastAsia="仿宋" w:cs="仿宋"/>
                <w:b/>
                <w:bCs/>
                <w:color w:val="000000"/>
                <w:kern w:val="0"/>
                <w:sz w:val="28"/>
                <w:szCs w:val="28"/>
                <w:lang w:val="en-US" w:eastAsia="zh-CN"/>
              </w:rPr>
              <w:t>1.9、机房巡检服务：</w:t>
            </w:r>
            <w:r>
              <w:rPr>
                <w:rFonts w:hint="eastAsia" w:ascii="仿宋" w:hAnsi="仿宋" w:eastAsia="仿宋" w:cs="仿宋"/>
                <w:b w:val="0"/>
                <w:bCs w:val="0"/>
                <w:color w:val="000000"/>
                <w:kern w:val="0"/>
                <w:sz w:val="28"/>
                <w:szCs w:val="28"/>
                <w:lang w:val="en-US" w:eastAsia="zh-CN"/>
              </w:rPr>
              <w:t>为了保障院方信息化设备的正常运行，要求服务商每日进行远程监控和每周现场巡检。检查机房环境，包括温湿度、清洁状况、消防设施。检查网络交换机、配线架等设备的指示灯状态和运行情况。发现异常（如设备宕机、环境过热）立即报警并协助处理。</w:t>
            </w:r>
          </w:p>
        </w:tc>
      </w:tr>
      <w:tr w14:paraId="0261F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9" w:type="dxa"/>
            <w:vMerge w:val="restart"/>
            <w:vAlign w:val="top"/>
          </w:tcPr>
          <w:p w14:paraId="63357531">
            <w:pPr>
              <w:spacing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1339" w:type="dxa"/>
            <w:vMerge w:val="restart"/>
            <w:vAlign w:val="top"/>
          </w:tcPr>
          <w:p w14:paraId="7348A10A">
            <w:pPr>
              <w:spacing w:line="360" w:lineRule="auto"/>
              <w:jc w:val="left"/>
              <w:rPr>
                <w:rFonts w:hint="eastAsia" w:ascii="仿宋" w:hAnsi="仿宋" w:eastAsia="仿宋" w:cs="仿宋"/>
                <w:color w:val="000000"/>
                <w:kern w:val="0"/>
                <w:sz w:val="28"/>
                <w:szCs w:val="28"/>
              </w:rPr>
            </w:pPr>
            <w:r>
              <w:rPr>
                <w:rFonts w:hint="eastAsia" w:ascii="仿宋" w:hAnsi="仿宋" w:eastAsia="仿宋" w:cs="仿宋"/>
                <w:sz w:val="28"/>
                <w:szCs w:val="28"/>
              </w:rPr>
              <w:t>运维方式及目标</w:t>
            </w:r>
          </w:p>
        </w:tc>
        <w:tc>
          <w:tcPr>
            <w:tcW w:w="6133" w:type="dxa"/>
            <w:vAlign w:val="center"/>
          </w:tcPr>
          <w:p w14:paraId="0E0CAA6E">
            <w:pPr>
              <w:spacing w:line="360" w:lineRule="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highlight w:val="none"/>
              </w:rPr>
              <w:t>2.1、</w:t>
            </w:r>
            <w:r>
              <w:rPr>
                <w:rFonts w:hint="eastAsia" w:ascii="仿宋" w:hAnsi="仿宋" w:eastAsia="仿宋" w:cs="仿宋"/>
                <w:sz w:val="28"/>
                <w:szCs w:val="28"/>
                <w:highlight w:val="none"/>
              </w:rPr>
              <w:t>本项目运行维护方式为：第三方服务商委派专业人员驻场运维，同时提供二线工程应急响应服务(按需到场)。</w:t>
            </w:r>
          </w:p>
        </w:tc>
      </w:tr>
      <w:tr w14:paraId="22C66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vAlign w:val="top"/>
          </w:tcPr>
          <w:p w14:paraId="423850C9">
            <w:pPr>
              <w:spacing w:line="360" w:lineRule="auto"/>
              <w:jc w:val="left"/>
              <w:rPr>
                <w:rFonts w:hint="eastAsia" w:ascii="仿宋" w:hAnsi="仿宋" w:eastAsia="仿宋" w:cs="仿宋"/>
                <w:color w:val="000000"/>
                <w:kern w:val="0"/>
                <w:sz w:val="28"/>
                <w:szCs w:val="28"/>
              </w:rPr>
            </w:pPr>
          </w:p>
        </w:tc>
        <w:tc>
          <w:tcPr>
            <w:tcW w:w="1339" w:type="dxa"/>
            <w:vMerge w:val="continue"/>
            <w:vAlign w:val="top"/>
          </w:tcPr>
          <w:p w14:paraId="4253E6FB">
            <w:pPr>
              <w:spacing w:line="360" w:lineRule="auto"/>
              <w:jc w:val="left"/>
              <w:rPr>
                <w:rFonts w:hint="eastAsia" w:ascii="仿宋" w:hAnsi="仿宋" w:eastAsia="仿宋" w:cs="仿宋"/>
                <w:color w:val="000000"/>
                <w:kern w:val="0"/>
                <w:sz w:val="28"/>
                <w:szCs w:val="28"/>
              </w:rPr>
            </w:pPr>
          </w:p>
        </w:tc>
        <w:tc>
          <w:tcPr>
            <w:tcW w:w="6133" w:type="dxa"/>
            <w:vAlign w:val="center"/>
          </w:tcPr>
          <w:p w14:paraId="5262178B">
            <w:pPr>
              <w:spacing w:line="360" w:lineRule="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2.2、</w:t>
            </w:r>
            <w:r>
              <w:rPr>
                <w:rFonts w:hint="eastAsia" w:ascii="仿宋" w:hAnsi="仿宋" w:eastAsia="仿宋" w:cs="仿宋"/>
                <w:sz w:val="28"/>
                <w:szCs w:val="28"/>
              </w:rPr>
              <w:t>通过本外包服务项目，可充分保障医院的计算机、</w:t>
            </w:r>
            <w:r>
              <w:rPr>
                <w:rFonts w:hint="eastAsia" w:ascii="仿宋" w:hAnsi="仿宋" w:eastAsia="仿宋" w:cs="仿宋"/>
                <w:sz w:val="28"/>
                <w:szCs w:val="28"/>
                <w:lang w:val="en-US" w:eastAsia="zh-CN"/>
              </w:rPr>
              <w:t>打印机、</w:t>
            </w:r>
            <w:r>
              <w:rPr>
                <w:rFonts w:hint="eastAsia" w:ascii="仿宋" w:hAnsi="仿宋" w:eastAsia="仿宋" w:cs="仿宋"/>
                <w:sz w:val="28"/>
                <w:szCs w:val="28"/>
              </w:rPr>
              <w:t>PDA等终端设备的正常运作。通过将运维工作外包给专业的IT服务公司，可实现运维工作的流程化、标准化以及运维数据的可视化，进而达到事前及时预防、事中准确控制、事后合理分析的总体运维目标</w:t>
            </w:r>
          </w:p>
        </w:tc>
      </w:tr>
      <w:tr w14:paraId="6E8C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restart"/>
            <w:vAlign w:val="top"/>
          </w:tcPr>
          <w:p w14:paraId="54D22394">
            <w:pPr>
              <w:spacing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w:t>
            </w:r>
          </w:p>
        </w:tc>
        <w:tc>
          <w:tcPr>
            <w:tcW w:w="1339" w:type="dxa"/>
            <w:vMerge w:val="restart"/>
            <w:vAlign w:val="top"/>
          </w:tcPr>
          <w:p w14:paraId="478C83E2">
            <w:pPr>
              <w:spacing w:line="360" w:lineRule="auto"/>
              <w:jc w:val="left"/>
              <w:rPr>
                <w:rFonts w:hint="eastAsia" w:ascii="仿宋" w:hAnsi="仿宋" w:eastAsia="仿宋" w:cs="仿宋"/>
                <w:color w:val="000000"/>
                <w:kern w:val="0"/>
                <w:sz w:val="28"/>
                <w:szCs w:val="28"/>
              </w:rPr>
            </w:pPr>
            <w:r>
              <w:rPr>
                <w:rFonts w:hint="eastAsia" w:ascii="仿宋" w:hAnsi="仿宋" w:eastAsia="仿宋" w:cs="仿宋"/>
                <w:sz w:val="28"/>
                <w:szCs w:val="28"/>
              </w:rPr>
              <w:t>驻场人员配置</w:t>
            </w:r>
          </w:p>
        </w:tc>
        <w:tc>
          <w:tcPr>
            <w:tcW w:w="6133" w:type="dxa"/>
            <w:vAlign w:val="center"/>
          </w:tcPr>
          <w:p w14:paraId="2D7E42E6">
            <w:pPr>
              <w:spacing w:line="360" w:lineRule="auto"/>
              <w:rPr>
                <w:rFonts w:hint="eastAsia" w:ascii="仿宋" w:hAnsi="仿宋" w:eastAsia="仿宋" w:cs="仿宋"/>
                <w:color w:val="000000"/>
                <w:kern w:val="0"/>
                <w:sz w:val="28"/>
                <w:szCs w:val="28"/>
              </w:rPr>
            </w:pPr>
            <w:r>
              <w:rPr>
                <w:rFonts w:hint="eastAsia" w:ascii="仿宋" w:hAnsi="仿宋" w:eastAsia="仿宋" w:cs="仿宋"/>
                <w:sz w:val="28"/>
                <w:szCs w:val="28"/>
              </w:rPr>
              <w:t>3.1、派遣4名专职技术人员驻场服务，按照医院的作息时间上下班考勤，工作日休息时间及节假日要有人值班(中午及晚间1人；节假日1人)。</w:t>
            </w:r>
          </w:p>
        </w:tc>
      </w:tr>
      <w:tr w14:paraId="66FBD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tcPr>
          <w:p w14:paraId="11ABCE70">
            <w:pPr>
              <w:spacing w:line="360" w:lineRule="auto"/>
              <w:rPr>
                <w:rFonts w:hint="eastAsia" w:ascii="仿宋" w:hAnsi="仿宋" w:eastAsia="仿宋" w:cs="仿宋"/>
                <w:color w:val="000000"/>
                <w:kern w:val="0"/>
                <w:sz w:val="28"/>
                <w:szCs w:val="28"/>
              </w:rPr>
            </w:pPr>
          </w:p>
        </w:tc>
        <w:tc>
          <w:tcPr>
            <w:tcW w:w="1339" w:type="dxa"/>
            <w:vMerge w:val="continue"/>
          </w:tcPr>
          <w:p w14:paraId="3AF6B6C0">
            <w:pPr>
              <w:spacing w:line="360" w:lineRule="auto"/>
              <w:rPr>
                <w:rFonts w:hint="eastAsia" w:ascii="仿宋" w:hAnsi="仿宋" w:eastAsia="仿宋" w:cs="仿宋"/>
                <w:color w:val="000000"/>
                <w:kern w:val="0"/>
                <w:sz w:val="28"/>
                <w:szCs w:val="28"/>
              </w:rPr>
            </w:pPr>
          </w:p>
        </w:tc>
        <w:tc>
          <w:tcPr>
            <w:tcW w:w="6133" w:type="dxa"/>
            <w:vAlign w:val="center"/>
          </w:tcPr>
          <w:p w14:paraId="31A94B33">
            <w:pPr>
              <w:spacing w:line="360" w:lineRule="auto"/>
              <w:rPr>
                <w:rFonts w:hint="eastAsia" w:ascii="仿宋" w:hAnsi="仿宋" w:eastAsia="仿宋" w:cs="仿宋"/>
                <w:color w:val="000000"/>
                <w:kern w:val="0"/>
                <w:sz w:val="28"/>
                <w:szCs w:val="28"/>
              </w:rPr>
            </w:pPr>
            <w:r>
              <w:rPr>
                <w:rFonts w:hint="eastAsia" w:ascii="仿宋" w:hAnsi="仿宋" w:eastAsia="仿宋" w:cs="仿宋"/>
                <w:sz w:val="28"/>
                <w:szCs w:val="28"/>
              </w:rPr>
              <w:t>3.2、专业技术人员</w:t>
            </w:r>
            <w:r>
              <w:rPr>
                <w:rFonts w:hint="eastAsia" w:ascii="仿宋" w:hAnsi="仿宋" w:eastAsia="仿宋" w:cs="仿宋"/>
                <w:sz w:val="28"/>
                <w:szCs w:val="28"/>
                <w:lang w:val="en-US" w:eastAsia="zh-CN"/>
              </w:rPr>
              <w:t>做到</w:t>
            </w:r>
            <w:r>
              <w:rPr>
                <w:rFonts w:hint="eastAsia" w:ascii="仿宋" w:hAnsi="仿宋" w:eastAsia="仿宋" w:cs="仿宋"/>
                <w:sz w:val="28"/>
                <w:szCs w:val="28"/>
              </w:rPr>
              <w:t>有专业维护经验及相关资质，服务态度良好。</w:t>
            </w:r>
          </w:p>
        </w:tc>
      </w:tr>
      <w:tr w14:paraId="75617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tcPr>
          <w:p w14:paraId="5C3003C2">
            <w:pPr>
              <w:spacing w:line="360" w:lineRule="auto"/>
              <w:rPr>
                <w:rFonts w:hint="eastAsia" w:ascii="仿宋" w:hAnsi="仿宋" w:eastAsia="仿宋" w:cs="仿宋"/>
                <w:color w:val="000000"/>
                <w:kern w:val="0"/>
                <w:sz w:val="28"/>
                <w:szCs w:val="28"/>
              </w:rPr>
            </w:pPr>
          </w:p>
        </w:tc>
        <w:tc>
          <w:tcPr>
            <w:tcW w:w="1339" w:type="dxa"/>
            <w:vMerge w:val="continue"/>
          </w:tcPr>
          <w:p w14:paraId="3EC44906">
            <w:pPr>
              <w:spacing w:line="360" w:lineRule="auto"/>
              <w:rPr>
                <w:rFonts w:hint="eastAsia" w:ascii="仿宋" w:hAnsi="仿宋" w:eastAsia="仿宋" w:cs="仿宋"/>
                <w:color w:val="000000"/>
                <w:kern w:val="0"/>
                <w:sz w:val="28"/>
                <w:szCs w:val="28"/>
              </w:rPr>
            </w:pPr>
          </w:p>
        </w:tc>
        <w:tc>
          <w:tcPr>
            <w:tcW w:w="6133" w:type="dxa"/>
            <w:vAlign w:val="center"/>
          </w:tcPr>
          <w:p w14:paraId="1D0D83DC">
            <w:pPr>
              <w:spacing w:line="360" w:lineRule="auto"/>
              <w:rPr>
                <w:rFonts w:hint="eastAsia" w:ascii="仿宋" w:hAnsi="仿宋" w:eastAsia="仿宋" w:cs="仿宋"/>
                <w:color w:val="000000"/>
                <w:kern w:val="0"/>
                <w:sz w:val="28"/>
                <w:szCs w:val="28"/>
              </w:rPr>
            </w:pPr>
            <w:r>
              <w:rPr>
                <w:rFonts w:hint="eastAsia" w:ascii="仿宋" w:hAnsi="仿宋" w:eastAsia="仿宋" w:cs="仿宋"/>
                <w:sz w:val="28"/>
                <w:szCs w:val="28"/>
              </w:rPr>
              <w:t>3.3、了解医院的基本业务，</w:t>
            </w:r>
            <w:r>
              <w:rPr>
                <w:rFonts w:hint="eastAsia" w:ascii="仿宋" w:hAnsi="仿宋" w:eastAsia="仿宋" w:cs="仿宋"/>
                <w:sz w:val="28"/>
                <w:szCs w:val="28"/>
                <w:lang w:val="en-US" w:eastAsia="zh-CN"/>
              </w:rPr>
              <w:t>做到</w:t>
            </w:r>
            <w:r>
              <w:rPr>
                <w:rFonts w:hint="eastAsia" w:ascii="仿宋" w:hAnsi="仿宋" w:eastAsia="仿宋" w:cs="仿宋"/>
                <w:sz w:val="28"/>
                <w:szCs w:val="28"/>
              </w:rPr>
              <w:t>对医院的信息系统有基本的了解。</w:t>
            </w:r>
          </w:p>
        </w:tc>
      </w:tr>
      <w:tr w14:paraId="0C172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tcPr>
          <w:p w14:paraId="1642B092">
            <w:pPr>
              <w:spacing w:line="360" w:lineRule="auto"/>
              <w:rPr>
                <w:rFonts w:hint="eastAsia" w:ascii="仿宋" w:hAnsi="仿宋" w:eastAsia="仿宋" w:cs="仿宋"/>
                <w:color w:val="000000"/>
                <w:kern w:val="0"/>
                <w:sz w:val="28"/>
                <w:szCs w:val="28"/>
              </w:rPr>
            </w:pPr>
          </w:p>
        </w:tc>
        <w:tc>
          <w:tcPr>
            <w:tcW w:w="1339" w:type="dxa"/>
            <w:vMerge w:val="continue"/>
          </w:tcPr>
          <w:p w14:paraId="7019ADE8">
            <w:pPr>
              <w:spacing w:line="360" w:lineRule="auto"/>
              <w:rPr>
                <w:rFonts w:hint="eastAsia" w:ascii="仿宋" w:hAnsi="仿宋" w:eastAsia="仿宋" w:cs="仿宋"/>
                <w:color w:val="000000"/>
                <w:kern w:val="0"/>
                <w:sz w:val="28"/>
                <w:szCs w:val="28"/>
              </w:rPr>
            </w:pPr>
          </w:p>
        </w:tc>
        <w:tc>
          <w:tcPr>
            <w:tcW w:w="6133" w:type="dxa"/>
            <w:vAlign w:val="center"/>
          </w:tcPr>
          <w:p w14:paraId="7391F7E9">
            <w:pPr>
              <w:spacing w:line="360" w:lineRule="auto"/>
              <w:rPr>
                <w:rFonts w:hint="eastAsia" w:ascii="仿宋" w:hAnsi="仿宋" w:eastAsia="仿宋" w:cs="仿宋"/>
                <w:color w:val="000000"/>
                <w:kern w:val="0"/>
                <w:sz w:val="28"/>
                <w:szCs w:val="28"/>
              </w:rPr>
            </w:pPr>
            <w:r>
              <w:rPr>
                <w:rFonts w:hint="eastAsia" w:ascii="仿宋" w:hAnsi="仿宋" w:eastAsia="仿宋" w:cs="仿宋"/>
                <w:sz w:val="28"/>
                <w:szCs w:val="28"/>
              </w:rPr>
              <w:t>3.4、为做到规范管理，统一员工形象，现场服务人员赴现场处理故障时</w:t>
            </w:r>
            <w:r>
              <w:rPr>
                <w:rFonts w:hint="eastAsia" w:ascii="仿宋" w:hAnsi="仿宋" w:eastAsia="仿宋" w:cs="仿宋"/>
                <w:sz w:val="28"/>
                <w:szCs w:val="28"/>
                <w:lang w:val="en-US" w:eastAsia="zh-CN"/>
              </w:rPr>
              <w:t>做到</w:t>
            </w:r>
            <w:r>
              <w:rPr>
                <w:rFonts w:hint="eastAsia" w:ascii="仿宋" w:hAnsi="仿宋" w:eastAsia="仿宋" w:cs="仿宋"/>
                <w:sz w:val="28"/>
                <w:szCs w:val="28"/>
              </w:rPr>
              <w:t>统一着装和配戴工牌（须印制服务单位标识)。</w:t>
            </w:r>
          </w:p>
        </w:tc>
      </w:tr>
      <w:tr w14:paraId="2ADCC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tcPr>
          <w:p w14:paraId="421A98CB">
            <w:pPr>
              <w:spacing w:line="360" w:lineRule="auto"/>
              <w:rPr>
                <w:rFonts w:hint="eastAsia" w:ascii="仿宋" w:hAnsi="仿宋" w:eastAsia="仿宋" w:cs="仿宋"/>
                <w:color w:val="000000"/>
                <w:kern w:val="0"/>
                <w:sz w:val="28"/>
                <w:szCs w:val="28"/>
              </w:rPr>
            </w:pPr>
          </w:p>
        </w:tc>
        <w:tc>
          <w:tcPr>
            <w:tcW w:w="1339" w:type="dxa"/>
            <w:vMerge w:val="continue"/>
          </w:tcPr>
          <w:p w14:paraId="3F871955">
            <w:pPr>
              <w:spacing w:line="360" w:lineRule="auto"/>
              <w:rPr>
                <w:rFonts w:hint="eastAsia" w:ascii="仿宋" w:hAnsi="仿宋" w:eastAsia="仿宋" w:cs="仿宋"/>
                <w:color w:val="000000"/>
                <w:kern w:val="0"/>
                <w:sz w:val="28"/>
                <w:szCs w:val="28"/>
              </w:rPr>
            </w:pPr>
          </w:p>
        </w:tc>
        <w:tc>
          <w:tcPr>
            <w:tcW w:w="6133" w:type="dxa"/>
            <w:vAlign w:val="center"/>
          </w:tcPr>
          <w:p w14:paraId="171367C1">
            <w:pPr>
              <w:spacing w:line="360" w:lineRule="auto"/>
              <w:rPr>
                <w:rFonts w:hint="eastAsia" w:ascii="仿宋" w:hAnsi="仿宋" w:eastAsia="仿宋" w:cs="仿宋"/>
                <w:color w:val="000000"/>
                <w:kern w:val="0"/>
                <w:sz w:val="28"/>
                <w:szCs w:val="28"/>
              </w:rPr>
            </w:pPr>
            <w:r>
              <w:rPr>
                <w:rFonts w:hint="eastAsia" w:ascii="仿宋" w:hAnsi="仿宋" w:eastAsia="仿宋" w:cs="仿宋"/>
                <w:sz w:val="28"/>
                <w:szCs w:val="28"/>
              </w:rPr>
              <w:t>3.5、对于技术水平低、服务态度差、责任心不强的驻场服务人员，在院方提出更换要求下，需立即予以更换。</w:t>
            </w:r>
          </w:p>
        </w:tc>
      </w:tr>
      <w:tr w14:paraId="636A6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tcPr>
          <w:p w14:paraId="79FE32F9">
            <w:pPr>
              <w:spacing w:line="360" w:lineRule="auto"/>
              <w:rPr>
                <w:rFonts w:hint="eastAsia" w:ascii="仿宋" w:hAnsi="仿宋" w:eastAsia="仿宋" w:cs="仿宋"/>
                <w:color w:val="000000"/>
                <w:kern w:val="0"/>
                <w:sz w:val="28"/>
                <w:szCs w:val="28"/>
              </w:rPr>
            </w:pPr>
          </w:p>
        </w:tc>
        <w:tc>
          <w:tcPr>
            <w:tcW w:w="1339" w:type="dxa"/>
            <w:vMerge w:val="continue"/>
          </w:tcPr>
          <w:p w14:paraId="0E970194">
            <w:pPr>
              <w:spacing w:line="360" w:lineRule="auto"/>
              <w:rPr>
                <w:rFonts w:hint="eastAsia" w:ascii="仿宋" w:hAnsi="仿宋" w:eastAsia="仿宋" w:cs="仿宋"/>
                <w:color w:val="000000"/>
                <w:kern w:val="0"/>
                <w:sz w:val="28"/>
                <w:szCs w:val="28"/>
              </w:rPr>
            </w:pPr>
          </w:p>
        </w:tc>
        <w:tc>
          <w:tcPr>
            <w:tcW w:w="6133" w:type="dxa"/>
            <w:vAlign w:val="center"/>
          </w:tcPr>
          <w:p w14:paraId="115E882C">
            <w:pPr>
              <w:spacing w:line="360" w:lineRule="auto"/>
              <w:rPr>
                <w:rFonts w:hint="eastAsia" w:ascii="仿宋" w:hAnsi="仿宋" w:eastAsia="仿宋" w:cs="仿宋"/>
                <w:color w:val="000000"/>
                <w:kern w:val="0"/>
                <w:sz w:val="28"/>
                <w:szCs w:val="28"/>
                <w:lang w:eastAsia="zh-CN"/>
              </w:rPr>
            </w:pPr>
            <w:r>
              <w:rPr>
                <w:rFonts w:hint="eastAsia" w:ascii="仿宋" w:hAnsi="仿宋" w:eastAsia="仿宋" w:cs="仿宋"/>
                <w:sz w:val="28"/>
                <w:szCs w:val="28"/>
              </w:rPr>
              <w:t>3.6、</w:t>
            </w:r>
            <w:r>
              <w:rPr>
                <w:rFonts w:hint="eastAsia" w:ascii="仿宋" w:hAnsi="仿宋" w:eastAsia="仿宋" w:cs="仿宋"/>
                <w:sz w:val="28"/>
                <w:szCs w:val="28"/>
                <w:lang w:val="en-US" w:eastAsia="zh-CN"/>
              </w:rPr>
              <w:t>提供</w:t>
            </w:r>
            <w:r>
              <w:rPr>
                <w:rFonts w:hint="eastAsia" w:ascii="仿宋" w:hAnsi="仿宋" w:eastAsia="仿宋" w:cs="仿宋"/>
                <w:sz w:val="28"/>
                <w:szCs w:val="28"/>
              </w:rPr>
              <w:t>拟安排的4名驻场人员至少需具有1年以上“公立三级综合医院”同类项目服务经验</w:t>
            </w:r>
            <w:r>
              <w:rPr>
                <w:rFonts w:hint="eastAsia" w:ascii="仿宋" w:hAnsi="仿宋" w:eastAsia="仿宋" w:cs="仿宋"/>
                <w:sz w:val="28"/>
                <w:szCs w:val="28"/>
                <w:lang w:eastAsia="zh-CN"/>
              </w:rPr>
              <w:t>。</w:t>
            </w:r>
          </w:p>
        </w:tc>
      </w:tr>
      <w:tr w14:paraId="4466D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tcPr>
          <w:p w14:paraId="49D63521">
            <w:pPr>
              <w:spacing w:line="360" w:lineRule="auto"/>
              <w:rPr>
                <w:rFonts w:hint="eastAsia" w:ascii="仿宋" w:hAnsi="仿宋" w:eastAsia="仿宋" w:cs="仿宋"/>
                <w:color w:val="000000"/>
                <w:kern w:val="0"/>
                <w:sz w:val="28"/>
                <w:szCs w:val="28"/>
              </w:rPr>
            </w:pPr>
          </w:p>
        </w:tc>
        <w:tc>
          <w:tcPr>
            <w:tcW w:w="1339" w:type="dxa"/>
            <w:vMerge w:val="continue"/>
          </w:tcPr>
          <w:p w14:paraId="2C5BD223">
            <w:pPr>
              <w:spacing w:line="360" w:lineRule="auto"/>
              <w:rPr>
                <w:rFonts w:hint="eastAsia" w:ascii="仿宋" w:hAnsi="仿宋" w:eastAsia="仿宋" w:cs="仿宋"/>
                <w:color w:val="000000"/>
                <w:kern w:val="0"/>
                <w:sz w:val="28"/>
                <w:szCs w:val="28"/>
              </w:rPr>
            </w:pPr>
          </w:p>
        </w:tc>
        <w:tc>
          <w:tcPr>
            <w:tcW w:w="6133" w:type="dxa"/>
            <w:vAlign w:val="center"/>
          </w:tcPr>
          <w:p w14:paraId="4BA629E5">
            <w:pPr>
              <w:spacing w:line="360" w:lineRule="auto"/>
              <w:rPr>
                <w:rFonts w:hint="eastAsia" w:ascii="仿宋" w:hAnsi="仿宋" w:eastAsia="仿宋" w:cs="仿宋"/>
                <w:color w:val="000000"/>
                <w:kern w:val="0"/>
                <w:sz w:val="28"/>
                <w:szCs w:val="28"/>
              </w:rPr>
            </w:pPr>
            <w:r>
              <w:rPr>
                <w:rFonts w:hint="eastAsia" w:ascii="仿宋" w:hAnsi="仿宋" w:eastAsia="仿宋" w:cs="仿宋"/>
                <w:sz w:val="28"/>
                <w:szCs w:val="28"/>
              </w:rPr>
              <w:t>3.7、</w:t>
            </w:r>
            <w:r>
              <w:rPr>
                <w:rFonts w:hint="eastAsia" w:ascii="仿宋" w:hAnsi="仿宋" w:eastAsia="仿宋" w:cs="仿宋"/>
                <w:sz w:val="28"/>
                <w:szCs w:val="28"/>
                <w:lang w:val="en-US" w:eastAsia="zh-CN"/>
              </w:rPr>
              <w:t>提供的</w:t>
            </w:r>
            <w:r>
              <w:rPr>
                <w:rFonts w:hint="eastAsia" w:ascii="仿宋" w:hAnsi="仿宋" w:eastAsia="仿宋" w:cs="仿宋"/>
                <w:sz w:val="28"/>
                <w:szCs w:val="28"/>
              </w:rPr>
              <w:t>现场项目组长，至少具备</w:t>
            </w:r>
            <w:r>
              <w:rPr>
                <w:rFonts w:hint="eastAsia" w:ascii="仿宋" w:hAnsi="仿宋" w:eastAsia="仿宋" w:cs="仿宋"/>
                <w:sz w:val="28"/>
                <w:szCs w:val="28"/>
                <w:lang w:val="en-US" w:eastAsia="zh-CN"/>
              </w:rPr>
              <w:t>3</w:t>
            </w:r>
            <w:r>
              <w:rPr>
                <w:rFonts w:hint="eastAsia" w:ascii="仿宋" w:hAnsi="仿宋" w:eastAsia="仿宋" w:cs="仿宋"/>
                <w:sz w:val="28"/>
                <w:szCs w:val="28"/>
              </w:rPr>
              <w:t>年以上医院IT运维工作经验。需具备计算机技术与软件专业技术资格（网络工程师）证书。</w:t>
            </w:r>
          </w:p>
        </w:tc>
      </w:tr>
      <w:tr w14:paraId="142E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restart"/>
          </w:tcPr>
          <w:p w14:paraId="79EAA71C">
            <w:pPr>
              <w:spacing w:line="360" w:lineRule="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w:t>
            </w:r>
          </w:p>
        </w:tc>
        <w:tc>
          <w:tcPr>
            <w:tcW w:w="1339" w:type="dxa"/>
            <w:vMerge w:val="restart"/>
          </w:tcPr>
          <w:p w14:paraId="5597110B">
            <w:pPr>
              <w:spacing w:line="360" w:lineRule="auto"/>
              <w:rPr>
                <w:rFonts w:hint="eastAsia" w:ascii="仿宋" w:hAnsi="仿宋" w:eastAsia="仿宋" w:cs="仿宋"/>
                <w:color w:val="000000"/>
                <w:kern w:val="0"/>
                <w:sz w:val="28"/>
                <w:szCs w:val="28"/>
              </w:rPr>
            </w:pPr>
            <w:r>
              <w:rPr>
                <w:rFonts w:hint="eastAsia" w:ascii="仿宋" w:hAnsi="仿宋" w:eastAsia="仿宋" w:cs="仿宋"/>
                <w:sz w:val="28"/>
                <w:szCs w:val="28"/>
              </w:rPr>
              <w:t>计算机运维服务</w:t>
            </w:r>
          </w:p>
        </w:tc>
        <w:tc>
          <w:tcPr>
            <w:tcW w:w="6133" w:type="dxa"/>
            <w:vAlign w:val="center"/>
          </w:tcPr>
          <w:p w14:paraId="75AC242F">
            <w:pPr>
              <w:spacing w:line="360" w:lineRule="auto"/>
              <w:rPr>
                <w:rFonts w:hint="eastAsia" w:ascii="仿宋" w:hAnsi="仿宋" w:eastAsia="仿宋" w:cs="仿宋"/>
                <w:color w:val="000000"/>
                <w:kern w:val="0"/>
                <w:sz w:val="28"/>
                <w:szCs w:val="28"/>
                <w:lang w:eastAsia="zh-CN"/>
              </w:rPr>
            </w:pPr>
            <w:r>
              <w:rPr>
                <w:rFonts w:hint="eastAsia" w:ascii="仿宋" w:hAnsi="仿宋" w:eastAsia="仿宋" w:cs="仿宋"/>
                <w:sz w:val="28"/>
                <w:szCs w:val="28"/>
              </w:rPr>
              <w:t>4.1、日常维护主要帮助操作人员解决因终端设备（计算机）故障、操作系统、办公软件、应用软件等在使用过程中遇到的问题，提供7x24小时服务</w:t>
            </w:r>
            <w:r>
              <w:rPr>
                <w:rFonts w:hint="eastAsia" w:ascii="仿宋" w:hAnsi="仿宋" w:eastAsia="仿宋" w:cs="仿宋"/>
                <w:sz w:val="28"/>
                <w:szCs w:val="28"/>
                <w:lang w:eastAsia="zh-CN"/>
              </w:rPr>
              <w:t>。</w:t>
            </w:r>
          </w:p>
        </w:tc>
      </w:tr>
      <w:tr w14:paraId="21D12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tcPr>
          <w:p w14:paraId="45954171">
            <w:pPr>
              <w:spacing w:line="360" w:lineRule="auto"/>
              <w:rPr>
                <w:rFonts w:hint="eastAsia" w:ascii="仿宋" w:hAnsi="仿宋" w:eastAsia="仿宋" w:cs="仿宋"/>
                <w:color w:val="000000"/>
                <w:kern w:val="0"/>
                <w:sz w:val="28"/>
                <w:szCs w:val="28"/>
              </w:rPr>
            </w:pPr>
          </w:p>
        </w:tc>
        <w:tc>
          <w:tcPr>
            <w:tcW w:w="1339" w:type="dxa"/>
            <w:vMerge w:val="continue"/>
          </w:tcPr>
          <w:p w14:paraId="3AEFD6F9">
            <w:pPr>
              <w:spacing w:line="360" w:lineRule="auto"/>
              <w:rPr>
                <w:rFonts w:hint="eastAsia" w:ascii="仿宋" w:hAnsi="仿宋" w:eastAsia="仿宋" w:cs="仿宋"/>
                <w:color w:val="000000"/>
                <w:kern w:val="0"/>
                <w:sz w:val="28"/>
                <w:szCs w:val="28"/>
              </w:rPr>
            </w:pPr>
          </w:p>
        </w:tc>
        <w:tc>
          <w:tcPr>
            <w:tcW w:w="6133" w:type="dxa"/>
            <w:vAlign w:val="center"/>
          </w:tcPr>
          <w:p w14:paraId="6DACEC08">
            <w:pPr>
              <w:spacing w:line="360" w:lineRule="auto"/>
              <w:rPr>
                <w:rFonts w:hint="eastAsia" w:ascii="仿宋" w:hAnsi="仿宋" w:eastAsia="仿宋" w:cs="仿宋"/>
                <w:color w:val="000000"/>
                <w:kern w:val="0"/>
                <w:sz w:val="28"/>
                <w:szCs w:val="28"/>
              </w:rPr>
            </w:pPr>
            <w:r>
              <w:rPr>
                <w:rFonts w:hint="eastAsia" w:ascii="仿宋" w:hAnsi="仿宋" w:eastAsia="仿宋" w:cs="仿宋"/>
                <w:sz w:val="28"/>
                <w:szCs w:val="28"/>
              </w:rPr>
              <w:t>4.2、</w:t>
            </w:r>
            <w:r>
              <w:rPr>
                <w:rFonts w:hint="eastAsia" w:ascii="仿宋" w:hAnsi="仿宋" w:eastAsia="仿宋" w:cs="仿宋"/>
                <w:sz w:val="28"/>
                <w:szCs w:val="28"/>
                <w:lang w:val="en-US" w:eastAsia="zh-CN"/>
              </w:rPr>
              <w:t>当</w:t>
            </w:r>
            <w:r>
              <w:rPr>
                <w:rFonts w:hint="eastAsia" w:ascii="仿宋" w:hAnsi="仿宋" w:eastAsia="仿宋" w:cs="仿宋"/>
                <w:sz w:val="28"/>
                <w:szCs w:val="28"/>
              </w:rPr>
              <w:t>接到故障请求后不能通过远程指导解决时，</w:t>
            </w:r>
            <w:r>
              <w:rPr>
                <w:rFonts w:hint="eastAsia" w:ascii="仿宋" w:hAnsi="仿宋" w:eastAsia="仿宋" w:cs="仿宋"/>
                <w:sz w:val="28"/>
                <w:szCs w:val="28"/>
                <w:lang w:val="en-US" w:eastAsia="zh-CN"/>
              </w:rPr>
              <w:t>提供</w:t>
            </w:r>
            <w:r>
              <w:rPr>
                <w:rFonts w:hint="eastAsia" w:ascii="仿宋" w:hAnsi="仿宋" w:eastAsia="仿宋" w:cs="仿宋"/>
                <w:sz w:val="28"/>
                <w:szCs w:val="28"/>
              </w:rPr>
              <w:t>15分钟内抵达现场处理，30分钟内不能解决问题时，协调使用备机更换（备机由医院提供）</w:t>
            </w:r>
            <w:r>
              <w:rPr>
                <w:rFonts w:hint="eastAsia" w:ascii="仿宋" w:hAnsi="仿宋" w:eastAsia="仿宋" w:cs="仿宋"/>
                <w:sz w:val="28"/>
                <w:szCs w:val="28"/>
                <w:lang w:eastAsia="zh-CN"/>
              </w:rPr>
              <w:t>的</w:t>
            </w:r>
            <w:r>
              <w:rPr>
                <w:rFonts w:hint="eastAsia" w:ascii="仿宋" w:hAnsi="仿宋" w:eastAsia="仿宋" w:cs="仿宋"/>
                <w:sz w:val="28"/>
                <w:szCs w:val="28"/>
                <w:lang w:val="en-US" w:eastAsia="zh-CN"/>
              </w:rPr>
              <w:t>服务</w:t>
            </w:r>
            <w:r>
              <w:rPr>
                <w:rFonts w:hint="eastAsia" w:ascii="仿宋" w:hAnsi="仿宋" w:eastAsia="仿宋" w:cs="仿宋"/>
                <w:sz w:val="28"/>
                <w:szCs w:val="28"/>
              </w:rPr>
              <w:t>。</w:t>
            </w:r>
          </w:p>
        </w:tc>
      </w:tr>
      <w:tr w14:paraId="3928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tcPr>
          <w:p w14:paraId="0C748E53">
            <w:pPr>
              <w:spacing w:line="360" w:lineRule="auto"/>
              <w:rPr>
                <w:rFonts w:hint="eastAsia" w:ascii="仿宋" w:hAnsi="仿宋" w:eastAsia="仿宋" w:cs="仿宋"/>
                <w:color w:val="000000"/>
                <w:kern w:val="0"/>
                <w:sz w:val="28"/>
                <w:szCs w:val="28"/>
              </w:rPr>
            </w:pPr>
          </w:p>
        </w:tc>
        <w:tc>
          <w:tcPr>
            <w:tcW w:w="1339" w:type="dxa"/>
            <w:vMerge w:val="continue"/>
          </w:tcPr>
          <w:p w14:paraId="2EF4B453">
            <w:pPr>
              <w:spacing w:line="360" w:lineRule="auto"/>
              <w:rPr>
                <w:rFonts w:hint="eastAsia" w:ascii="仿宋" w:hAnsi="仿宋" w:eastAsia="仿宋" w:cs="仿宋"/>
                <w:color w:val="000000"/>
                <w:kern w:val="0"/>
                <w:sz w:val="28"/>
                <w:szCs w:val="28"/>
              </w:rPr>
            </w:pPr>
          </w:p>
        </w:tc>
        <w:tc>
          <w:tcPr>
            <w:tcW w:w="6133" w:type="dxa"/>
            <w:vAlign w:val="center"/>
          </w:tcPr>
          <w:p w14:paraId="1FC0AC89">
            <w:pPr>
              <w:spacing w:line="360" w:lineRule="auto"/>
              <w:rPr>
                <w:rFonts w:hint="eastAsia" w:ascii="仿宋" w:hAnsi="仿宋" w:eastAsia="仿宋" w:cs="仿宋"/>
                <w:color w:val="000000"/>
                <w:kern w:val="0"/>
                <w:sz w:val="28"/>
                <w:szCs w:val="28"/>
              </w:rPr>
            </w:pPr>
            <w:r>
              <w:rPr>
                <w:rFonts w:hint="eastAsia" w:ascii="仿宋" w:hAnsi="仿宋" w:eastAsia="仿宋" w:cs="仿宋"/>
                <w:sz w:val="28"/>
                <w:szCs w:val="28"/>
              </w:rPr>
              <w:t>4.3</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w:t>
            </w:r>
            <w:r>
              <w:rPr>
                <w:rFonts w:hint="eastAsia" w:ascii="仿宋" w:hAnsi="仿宋" w:eastAsia="仿宋" w:cs="仿宋"/>
                <w:sz w:val="28"/>
                <w:szCs w:val="28"/>
              </w:rPr>
              <w:t>对产生故障的电脑设备进行维修</w:t>
            </w:r>
            <w:r>
              <w:rPr>
                <w:rFonts w:hint="eastAsia" w:ascii="仿宋" w:hAnsi="仿宋" w:eastAsia="仿宋" w:cs="仿宋"/>
                <w:sz w:val="28"/>
                <w:szCs w:val="28"/>
                <w:lang w:eastAsia="zh-CN"/>
              </w:rPr>
              <w:t>的</w:t>
            </w:r>
            <w:r>
              <w:rPr>
                <w:rFonts w:hint="eastAsia" w:ascii="仿宋" w:hAnsi="仿宋" w:eastAsia="仿宋" w:cs="仿宋"/>
                <w:sz w:val="28"/>
                <w:szCs w:val="28"/>
                <w:lang w:val="en-US" w:eastAsia="zh-CN"/>
              </w:rPr>
              <w:t>服务</w:t>
            </w:r>
            <w:r>
              <w:rPr>
                <w:rFonts w:hint="eastAsia" w:ascii="仿宋" w:hAnsi="仿宋" w:eastAsia="仿宋" w:cs="仿宋"/>
                <w:sz w:val="28"/>
                <w:szCs w:val="28"/>
              </w:rPr>
              <w:t>，如不具备维修条件或遇到现场人员无法解决的故障时应送外维修。</w:t>
            </w:r>
          </w:p>
        </w:tc>
      </w:tr>
      <w:tr w14:paraId="09183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tcPr>
          <w:p w14:paraId="6CC4662D">
            <w:pPr>
              <w:spacing w:line="360" w:lineRule="auto"/>
              <w:rPr>
                <w:rFonts w:hint="eastAsia" w:ascii="仿宋" w:hAnsi="仿宋" w:eastAsia="仿宋" w:cs="仿宋"/>
                <w:color w:val="000000"/>
                <w:kern w:val="0"/>
                <w:sz w:val="28"/>
                <w:szCs w:val="28"/>
              </w:rPr>
            </w:pPr>
          </w:p>
        </w:tc>
        <w:tc>
          <w:tcPr>
            <w:tcW w:w="1339" w:type="dxa"/>
            <w:vMerge w:val="continue"/>
          </w:tcPr>
          <w:p w14:paraId="7C400B67">
            <w:pPr>
              <w:spacing w:line="360" w:lineRule="auto"/>
              <w:rPr>
                <w:rFonts w:hint="eastAsia" w:ascii="仿宋" w:hAnsi="仿宋" w:eastAsia="仿宋" w:cs="仿宋"/>
                <w:color w:val="000000"/>
                <w:kern w:val="0"/>
                <w:sz w:val="28"/>
                <w:szCs w:val="28"/>
              </w:rPr>
            </w:pPr>
          </w:p>
        </w:tc>
        <w:tc>
          <w:tcPr>
            <w:tcW w:w="6133" w:type="dxa"/>
            <w:vAlign w:val="center"/>
          </w:tcPr>
          <w:p w14:paraId="3D591754">
            <w:pPr>
              <w:spacing w:line="360" w:lineRule="auto"/>
              <w:rPr>
                <w:rFonts w:hint="eastAsia" w:ascii="仿宋" w:hAnsi="仿宋" w:eastAsia="仿宋" w:cs="仿宋"/>
                <w:color w:val="000000"/>
                <w:kern w:val="0"/>
                <w:sz w:val="28"/>
                <w:szCs w:val="28"/>
              </w:rPr>
            </w:pPr>
            <w:r>
              <w:rPr>
                <w:rFonts w:hint="eastAsia" w:ascii="仿宋" w:hAnsi="仿宋" w:eastAsia="仿宋" w:cs="仿宋"/>
                <w:sz w:val="28"/>
                <w:szCs w:val="28"/>
              </w:rPr>
              <w:t>4.4、</w:t>
            </w:r>
            <w:r>
              <w:rPr>
                <w:rFonts w:hint="eastAsia" w:ascii="仿宋" w:hAnsi="仿宋" w:eastAsia="仿宋" w:cs="仿宋"/>
                <w:sz w:val="28"/>
                <w:szCs w:val="28"/>
                <w:lang w:val="en-US" w:eastAsia="zh-CN"/>
              </w:rPr>
              <w:t>提供</w:t>
            </w:r>
            <w:r>
              <w:rPr>
                <w:rFonts w:hint="eastAsia" w:ascii="仿宋" w:hAnsi="仿宋" w:eastAsia="仿宋" w:cs="仿宋"/>
                <w:sz w:val="28"/>
                <w:szCs w:val="28"/>
              </w:rPr>
              <w:t>有符合ITIL标准的服务规范，服务请求有记录，处理过程可追溯；问题反馈有跟踪、处理有结果的ITSM运维服务流程闭环管理。</w:t>
            </w:r>
          </w:p>
        </w:tc>
      </w:tr>
      <w:tr w14:paraId="00F0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tcPr>
          <w:p w14:paraId="05F28274">
            <w:pPr>
              <w:spacing w:line="360" w:lineRule="auto"/>
              <w:rPr>
                <w:rFonts w:hint="eastAsia" w:ascii="仿宋" w:hAnsi="仿宋" w:eastAsia="仿宋" w:cs="仿宋"/>
                <w:color w:val="000000"/>
                <w:kern w:val="0"/>
                <w:sz w:val="28"/>
                <w:szCs w:val="28"/>
              </w:rPr>
            </w:pPr>
          </w:p>
        </w:tc>
        <w:tc>
          <w:tcPr>
            <w:tcW w:w="1339" w:type="dxa"/>
            <w:vMerge w:val="continue"/>
          </w:tcPr>
          <w:p w14:paraId="4E6596C3">
            <w:pPr>
              <w:spacing w:line="360" w:lineRule="auto"/>
              <w:rPr>
                <w:rFonts w:hint="eastAsia" w:ascii="仿宋" w:hAnsi="仿宋" w:eastAsia="仿宋" w:cs="仿宋"/>
                <w:color w:val="000000"/>
                <w:kern w:val="0"/>
                <w:sz w:val="28"/>
                <w:szCs w:val="28"/>
              </w:rPr>
            </w:pPr>
          </w:p>
        </w:tc>
        <w:tc>
          <w:tcPr>
            <w:tcW w:w="6133" w:type="dxa"/>
            <w:vAlign w:val="center"/>
          </w:tcPr>
          <w:p w14:paraId="5114FCDE">
            <w:pPr>
              <w:spacing w:line="360" w:lineRule="auto"/>
              <w:rPr>
                <w:rFonts w:hint="eastAsia" w:ascii="仿宋" w:hAnsi="仿宋" w:eastAsia="仿宋" w:cs="仿宋"/>
                <w:color w:val="000000"/>
                <w:kern w:val="0"/>
                <w:sz w:val="28"/>
                <w:szCs w:val="28"/>
              </w:rPr>
            </w:pPr>
            <w:r>
              <w:rPr>
                <w:rFonts w:hint="eastAsia" w:ascii="仿宋" w:hAnsi="仿宋" w:eastAsia="仿宋" w:cs="仿宋"/>
                <w:sz w:val="28"/>
                <w:szCs w:val="28"/>
              </w:rPr>
              <w:t>4.5、</w:t>
            </w:r>
            <w:r>
              <w:rPr>
                <w:rFonts w:hint="eastAsia" w:ascii="仿宋" w:hAnsi="仿宋" w:eastAsia="仿宋" w:cs="仿宋"/>
                <w:sz w:val="28"/>
                <w:szCs w:val="28"/>
                <w:lang w:val="en-US" w:eastAsia="zh-CN"/>
              </w:rPr>
              <w:t>提供</w:t>
            </w:r>
            <w:r>
              <w:rPr>
                <w:rFonts w:hint="eastAsia" w:ascii="仿宋" w:hAnsi="仿宋" w:eastAsia="仿宋" w:cs="仿宋"/>
                <w:sz w:val="28"/>
                <w:szCs w:val="28"/>
              </w:rPr>
              <w:t>重点部门（如急诊、门诊、收费处等窗口单位）特殊的响应机制，做到随叫随到，并有应急处理措施。</w:t>
            </w:r>
          </w:p>
        </w:tc>
      </w:tr>
      <w:tr w14:paraId="3A72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tcPr>
          <w:p w14:paraId="1BA58517">
            <w:pPr>
              <w:spacing w:line="360" w:lineRule="auto"/>
              <w:rPr>
                <w:rFonts w:hint="eastAsia" w:ascii="仿宋" w:hAnsi="仿宋" w:eastAsia="仿宋" w:cs="仿宋"/>
                <w:color w:val="000000"/>
                <w:kern w:val="0"/>
                <w:sz w:val="28"/>
                <w:szCs w:val="28"/>
              </w:rPr>
            </w:pPr>
          </w:p>
        </w:tc>
        <w:tc>
          <w:tcPr>
            <w:tcW w:w="1339" w:type="dxa"/>
            <w:vMerge w:val="continue"/>
          </w:tcPr>
          <w:p w14:paraId="4F4F507D">
            <w:pPr>
              <w:spacing w:line="360" w:lineRule="auto"/>
              <w:rPr>
                <w:rFonts w:hint="eastAsia" w:ascii="仿宋" w:hAnsi="仿宋" w:eastAsia="仿宋" w:cs="仿宋"/>
                <w:color w:val="000000"/>
                <w:kern w:val="0"/>
                <w:sz w:val="28"/>
                <w:szCs w:val="28"/>
              </w:rPr>
            </w:pPr>
          </w:p>
        </w:tc>
        <w:tc>
          <w:tcPr>
            <w:tcW w:w="6133" w:type="dxa"/>
            <w:vAlign w:val="center"/>
          </w:tcPr>
          <w:p w14:paraId="25A104D7">
            <w:pPr>
              <w:spacing w:line="360" w:lineRule="auto"/>
              <w:rPr>
                <w:rFonts w:hint="eastAsia" w:ascii="仿宋" w:hAnsi="仿宋" w:eastAsia="仿宋" w:cs="仿宋"/>
                <w:color w:val="000000"/>
                <w:kern w:val="0"/>
                <w:sz w:val="28"/>
                <w:szCs w:val="28"/>
              </w:rPr>
            </w:pPr>
            <w:r>
              <w:rPr>
                <w:rFonts w:hint="eastAsia" w:ascii="仿宋" w:hAnsi="仿宋" w:eastAsia="仿宋" w:cs="仿宋"/>
                <w:sz w:val="28"/>
                <w:szCs w:val="28"/>
              </w:rPr>
              <w:t>4.6、对于更换硬盘的故障情况，</w:t>
            </w:r>
            <w:r>
              <w:rPr>
                <w:rFonts w:hint="eastAsia" w:ascii="仿宋" w:hAnsi="仿宋" w:eastAsia="仿宋" w:cs="仿宋"/>
                <w:sz w:val="28"/>
                <w:szCs w:val="28"/>
                <w:lang w:val="en-US" w:eastAsia="zh-CN"/>
              </w:rPr>
              <w:t>提供</w:t>
            </w:r>
            <w:r>
              <w:rPr>
                <w:rFonts w:hint="eastAsia" w:ascii="仿宋" w:hAnsi="仿宋" w:eastAsia="仿宋" w:cs="仿宋"/>
                <w:sz w:val="28"/>
                <w:szCs w:val="28"/>
              </w:rPr>
              <w:t>故障硬盘中资料需进行彻底清除或物理破坏，防止数据外泄。</w:t>
            </w:r>
          </w:p>
        </w:tc>
      </w:tr>
      <w:tr w14:paraId="4CC7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tcPr>
          <w:p w14:paraId="5EE5DC22">
            <w:pPr>
              <w:spacing w:line="360" w:lineRule="auto"/>
              <w:rPr>
                <w:rFonts w:hint="eastAsia" w:ascii="仿宋" w:hAnsi="仿宋" w:eastAsia="仿宋" w:cs="仿宋"/>
                <w:color w:val="000000"/>
                <w:kern w:val="0"/>
                <w:sz w:val="28"/>
                <w:szCs w:val="28"/>
              </w:rPr>
            </w:pPr>
          </w:p>
        </w:tc>
        <w:tc>
          <w:tcPr>
            <w:tcW w:w="1339" w:type="dxa"/>
            <w:vMerge w:val="continue"/>
          </w:tcPr>
          <w:p w14:paraId="14AFC3CC">
            <w:pPr>
              <w:spacing w:line="360" w:lineRule="auto"/>
              <w:rPr>
                <w:rFonts w:hint="eastAsia" w:ascii="仿宋" w:hAnsi="仿宋" w:eastAsia="仿宋" w:cs="仿宋"/>
                <w:color w:val="000000"/>
                <w:kern w:val="0"/>
                <w:sz w:val="28"/>
                <w:szCs w:val="28"/>
              </w:rPr>
            </w:pPr>
          </w:p>
        </w:tc>
        <w:tc>
          <w:tcPr>
            <w:tcW w:w="6133" w:type="dxa"/>
            <w:vAlign w:val="center"/>
          </w:tcPr>
          <w:p w14:paraId="40C10AF1">
            <w:pPr>
              <w:spacing w:line="360" w:lineRule="auto"/>
              <w:rPr>
                <w:rFonts w:hint="eastAsia" w:ascii="仿宋" w:hAnsi="仿宋" w:eastAsia="仿宋" w:cs="仿宋"/>
                <w:color w:val="000000"/>
                <w:kern w:val="0"/>
                <w:sz w:val="28"/>
                <w:szCs w:val="28"/>
              </w:rPr>
            </w:pPr>
            <w:r>
              <w:rPr>
                <w:rFonts w:hint="eastAsia" w:ascii="仿宋" w:hAnsi="仿宋" w:eastAsia="仿宋" w:cs="仿宋"/>
                <w:sz w:val="28"/>
                <w:szCs w:val="28"/>
              </w:rPr>
              <w:t>4.7、</w:t>
            </w:r>
            <w:r>
              <w:rPr>
                <w:rFonts w:hint="eastAsia" w:ascii="仿宋" w:hAnsi="仿宋" w:eastAsia="仿宋" w:cs="仿宋"/>
                <w:sz w:val="28"/>
                <w:szCs w:val="28"/>
                <w:lang w:val="en-US" w:eastAsia="zh-CN"/>
              </w:rPr>
              <w:t>提供</w:t>
            </w:r>
            <w:r>
              <w:rPr>
                <w:rFonts w:hint="eastAsia" w:ascii="仿宋" w:hAnsi="仿宋" w:eastAsia="仿宋" w:cs="仿宋"/>
                <w:sz w:val="28"/>
                <w:szCs w:val="28"/>
              </w:rPr>
              <w:t>协助信息科解决各类应用系统不能使用的常规问题，以及临床和门诊各科室HIS、LIS系统的升级安装。</w:t>
            </w:r>
          </w:p>
        </w:tc>
      </w:tr>
      <w:tr w14:paraId="3A59C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tcPr>
          <w:p w14:paraId="6D8C9C70">
            <w:pPr>
              <w:spacing w:line="360" w:lineRule="auto"/>
              <w:rPr>
                <w:rFonts w:hint="eastAsia" w:ascii="仿宋" w:hAnsi="仿宋" w:eastAsia="仿宋" w:cs="仿宋"/>
                <w:color w:val="000000"/>
                <w:kern w:val="0"/>
                <w:sz w:val="28"/>
                <w:szCs w:val="28"/>
              </w:rPr>
            </w:pPr>
          </w:p>
        </w:tc>
        <w:tc>
          <w:tcPr>
            <w:tcW w:w="1339" w:type="dxa"/>
            <w:vMerge w:val="continue"/>
          </w:tcPr>
          <w:p w14:paraId="4F95F83C">
            <w:pPr>
              <w:spacing w:line="360" w:lineRule="auto"/>
              <w:rPr>
                <w:rFonts w:hint="eastAsia" w:ascii="仿宋" w:hAnsi="仿宋" w:eastAsia="仿宋" w:cs="仿宋"/>
                <w:color w:val="000000"/>
                <w:kern w:val="0"/>
                <w:sz w:val="28"/>
                <w:szCs w:val="28"/>
              </w:rPr>
            </w:pPr>
          </w:p>
        </w:tc>
        <w:tc>
          <w:tcPr>
            <w:tcW w:w="6133" w:type="dxa"/>
            <w:vAlign w:val="center"/>
          </w:tcPr>
          <w:p w14:paraId="32C1FA0C">
            <w:pPr>
              <w:spacing w:line="360" w:lineRule="auto"/>
              <w:rPr>
                <w:rFonts w:hint="eastAsia" w:ascii="仿宋" w:hAnsi="仿宋" w:eastAsia="仿宋" w:cs="仿宋"/>
                <w:color w:val="000000"/>
                <w:kern w:val="0"/>
                <w:sz w:val="28"/>
                <w:szCs w:val="28"/>
              </w:rPr>
            </w:pPr>
            <w:r>
              <w:rPr>
                <w:rFonts w:hint="eastAsia" w:ascii="仿宋" w:hAnsi="仿宋" w:eastAsia="仿宋" w:cs="仿宋"/>
                <w:sz w:val="28"/>
                <w:szCs w:val="28"/>
              </w:rPr>
              <w:t>4.8、</w:t>
            </w:r>
            <w:r>
              <w:rPr>
                <w:rFonts w:hint="eastAsia" w:ascii="仿宋" w:hAnsi="仿宋" w:eastAsia="仿宋" w:cs="仿宋"/>
                <w:sz w:val="28"/>
                <w:szCs w:val="28"/>
                <w:lang w:val="en-US" w:eastAsia="zh-CN"/>
              </w:rPr>
              <w:t>提供</w:t>
            </w:r>
            <w:r>
              <w:rPr>
                <w:rFonts w:hint="eastAsia" w:ascii="仿宋" w:hAnsi="仿宋" w:eastAsia="仿宋" w:cs="仿宋"/>
                <w:sz w:val="28"/>
                <w:szCs w:val="28"/>
              </w:rPr>
              <w:t>协助解决或安装各科室的医疗辅助系统以及各医疗设备系统不能到现场</w:t>
            </w:r>
            <w:r>
              <w:rPr>
                <w:rFonts w:hint="eastAsia" w:ascii="仿宋" w:hAnsi="仿宋" w:eastAsia="仿宋" w:cs="仿宋"/>
                <w:sz w:val="28"/>
                <w:szCs w:val="28"/>
                <w:lang w:eastAsia="zh-CN"/>
              </w:rPr>
              <w:t>，</w:t>
            </w:r>
            <w:r>
              <w:rPr>
                <w:rFonts w:hint="eastAsia" w:ascii="仿宋" w:hAnsi="仿宋" w:eastAsia="仿宋" w:cs="仿宋"/>
                <w:sz w:val="28"/>
                <w:szCs w:val="28"/>
              </w:rPr>
              <w:t>需要远程协助的问题。</w:t>
            </w:r>
          </w:p>
        </w:tc>
      </w:tr>
      <w:tr w14:paraId="2F06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tcPr>
          <w:p w14:paraId="5BF4E078">
            <w:pPr>
              <w:spacing w:line="360" w:lineRule="auto"/>
              <w:rPr>
                <w:rFonts w:hint="eastAsia" w:ascii="仿宋" w:hAnsi="仿宋" w:eastAsia="仿宋" w:cs="仿宋"/>
                <w:color w:val="000000"/>
                <w:kern w:val="0"/>
                <w:sz w:val="28"/>
                <w:szCs w:val="28"/>
              </w:rPr>
            </w:pPr>
          </w:p>
        </w:tc>
        <w:tc>
          <w:tcPr>
            <w:tcW w:w="1339" w:type="dxa"/>
            <w:vMerge w:val="continue"/>
          </w:tcPr>
          <w:p w14:paraId="75BD19FF">
            <w:pPr>
              <w:spacing w:line="360" w:lineRule="auto"/>
              <w:rPr>
                <w:rFonts w:hint="eastAsia" w:ascii="仿宋" w:hAnsi="仿宋" w:eastAsia="仿宋" w:cs="仿宋"/>
                <w:color w:val="000000"/>
                <w:kern w:val="0"/>
                <w:sz w:val="28"/>
                <w:szCs w:val="28"/>
              </w:rPr>
            </w:pPr>
          </w:p>
        </w:tc>
        <w:tc>
          <w:tcPr>
            <w:tcW w:w="6133" w:type="dxa"/>
            <w:vAlign w:val="center"/>
          </w:tcPr>
          <w:p w14:paraId="115E61B8">
            <w:pPr>
              <w:spacing w:line="360" w:lineRule="auto"/>
              <w:rPr>
                <w:rFonts w:hint="eastAsia" w:ascii="仿宋" w:hAnsi="仿宋" w:eastAsia="仿宋" w:cs="仿宋"/>
                <w:color w:val="000000"/>
                <w:kern w:val="0"/>
                <w:sz w:val="28"/>
                <w:szCs w:val="28"/>
              </w:rPr>
            </w:pPr>
            <w:r>
              <w:rPr>
                <w:rFonts w:hint="eastAsia" w:ascii="仿宋" w:hAnsi="仿宋" w:eastAsia="仿宋" w:cs="仿宋"/>
                <w:sz w:val="28"/>
                <w:szCs w:val="28"/>
              </w:rPr>
              <w:t>4.9、服务启动后对全院资产进行清查，建立设备档案和变更登记，包括品牌、规格型号、配置、参数、使用科室、所在位置、使用人、用途等详细内容，每年年底协助资产管理人员对全院资产开展盘点工作。</w:t>
            </w:r>
          </w:p>
        </w:tc>
      </w:tr>
      <w:tr w14:paraId="4E8CD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tcPr>
          <w:p w14:paraId="4F35A07A">
            <w:pPr>
              <w:spacing w:line="360" w:lineRule="auto"/>
              <w:rPr>
                <w:rFonts w:hint="eastAsia" w:ascii="仿宋" w:hAnsi="仿宋" w:eastAsia="仿宋" w:cs="仿宋"/>
                <w:color w:val="000000"/>
                <w:kern w:val="0"/>
                <w:sz w:val="28"/>
                <w:szCs w:val="28"/>
              </w:rPr>
            </w:pPr>
          </w:p>
        </w:tc>
        <w:tc>
          <w:tcPr>
            <w:tcW w:w="1339" w:type="dxa"/>
            <w:vMerge w:val="continue"/>
          </w:tcPr>
          <w:p w14:paraId="35FECFF4">
            <w:pPr>
              <w:spacing w:line="360" w:lineRule="auto"/>
              <w:rPr>
                <w:rFonts w:hint="eastAsia" w:ascii="仿宋" w:hAnsi="仿宋" w:eastAsia="仿宋" w:cs="仿宋"/>
                <w:color w:val="000000"/>
                <w:kern w:val="0"/>
                <w:sz w:val="28"/>
                <w:szCs w:val="28"/>
              </w:rPr>
            </w:pPr>
          </w:p>
        </w:tc>
        <w:tc>
          <w:tcPr>
            <w:tcW w:w="6133" w:type="dxa"/>
            <w:vAlign w:val="center"/>
          </w:tcPr>
          <w:p w14:paraId="0E7A366A">
            <w:pPr>
              <w:spacing w:line="360" w:lineRule="auto"/>
              <w:rPr>
                <w:rFonts w:hint="eastAsia" w:ascii="仿宋" w:hAnsi="仿宋" w:eastAsia="仿宋" w:cs="仿宋"/>
                <w:color w:val="000000"/>
                <w:kern w:val="0"/>
                <w:sz w:val="28"/>
                <w:szCs w:val="28"/>
              </w:rPr>
            </w:pPr>
            <w:r>
              <w:rPr>
                <w:rFonts w:hint="eastAsia" w:ascii="仿宋" w:hAnsi="仿宋" w:eastAsia="仿宋" w:cs="仿宋"/>
                <w:sz w:val="28"/>
                <w:szCs w:val="28"/>
              </w:rPr>
              <w:t>4.10、</w:t>
            </w:r>
            <w:r>
              <w:rPr>
                <w:rFonts w:hint="eastAsia" w:ascii="仿宋" w:hAnsi="仿宋" w:eastAsia="仿宋" w:cs="仿宋"/>
                <w:sz w:val="28"/>
                <w:szCs w:val="28"/>
                <w:lang w:val="en-US" w:eastAsia="zh-CN"/>
              </w:rPr>
              <w:t>提供</w:t>
            </w:r>
            <w:r>
              <w:rPr>
                <w:rFonts w:hint="eastAsia" w:ascii="仿宋" w:hAnsi="仿宋" w:eastAsia="仿宋" w:cs="仿宋"/>
                <w:sz w:val="28"/>
                <w:szCs w:val="28"/>
              </w:rPr>
              <w:t>负责报废设备的回收和报告，确保账册和实物一致，协助院方定期处理报废设备，报废设备的处理残值归院方所有。</w:t>
            </w:r>
          </w:p>
        </w:tc>
      </w:tr>
      <w:tr w14:paraId="4D802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restart"/>
          </w:tcPr>
          <w:p w14:paraId="6B3B4DF1">
            <w:pPr>
              <w:spacing w:line="360" w:lineRule="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w:t>
            </w:r>
          </w:p>
        </w:tc>
        <w:tc>
          <w:tcPr>
            <w:tcW w:w="1339" w:type="dxa"/>
            <w:vMerge w:val="restart"/>
          </w:tcPr>
          <w:p w14:paraId="23C5EA11">
            <w:pPr>
              <w:spacing w:line="360" w:lineRule="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其它信息终端维护服务</w:t>
            </w:r>
          </w:p>
        </w:tc>
        <w:tc>
          <w:tcPr>
            <w:tcW w:w="6133" w:type="dxa"/>
            <w:vAlign w:val="center"/>
          </w:tcPr>
          <w:p w14:paraId="16E74695">
            <w:pPr>
              <w:spacing w:line="360" w:lineRule="auto"/>
              <w:rPr>
                <w:rFonts w:hint="eastAsia" w:ascii="仿宋" w:hAnsi="仿宋" w:eastAsia="仿宋" w:cs="仿宋"/>
                <w:color w:val="000000"/>
                <w:kern w:val="0"/>
                <w:sz w:val="28"/>
                <w:szCs w:val="28"/>
              </w:rPr>
            </w:pPr>
            <w:r>
              <w:rPr>
                <w:rFonts w:hint="eastAsia" w:ascii="仿宋" w:hAnsi="仿宋" w:eastAsia="仿宋" w:cs="仿宋"/>
                <w:sz w:val="28"/>
                <w:szCs w:val="28"/>
              </w:rPr>
              <w:t>5.1、为全院约200台PDA、移动护理车提供日常维护，确保各科室PDA、移动护理车正常运行。维护内容包括院内所有PDA、移动护理车的硬件维修服务（含配件、人工以及保修期内可能涉及的返厂费用等，不含人为因素及不可抗力因素造成的损坏以及不含移动护理车电池更换）。</w:t>
            </w:r>
          </w:p>
        </w:tc>
      </w:tr>
      <w:tr w14:paraId="052EB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tcPr>
          <w:p w14:paraId="411A6B79">
            <w:pPr>
              <w:spacing w:line="360" w:lineRule="auto"/>
              <w:rPr>
                <w:rFonts w:hint="eastAsia" w:ascii="仿宋" w:hAnsi="仿宋" w:eastAsia="仿宋" w:cs="仿宋"/>
                <w:color w:val="000000"/>
                <w:kern w:val="0"/>
                <w:sz w:val="28"/>
                <w:szCs w:val="28"/>
              </w:rPr>
            </w:pPr>
          </w:p>
        </w:tc>
        <w:tc>
          <w:tcPr>
            <w:tcW w:w="1339" w:type="dxa"/>
            <w:vMerge w:val="continue"/>
          </w:tcPr>
          <w:p w14:paraId="38677D04">
            <w:pPr>
              <w:spacing w:line="360" w:lineRule="auto"/>
              <w:rPr>
                <w:rFonts w:hint="eastAsia" w:ascii="仿宋" w:hAnsi="仿宋" w:eastAsia="仿宋" w:cs="仿宋"/>
                <w:color w:val="000000"/>
                <w:kern w:val="0"/>
                <w:sz w:val="28"/>
                <w:szCs w:val="28"/>
              </w:rPr>
            </w:pPr>
          </w:p>
        </w:tc>
        <w:tc>
          <w:tcPr>
            <w:tcW w:w="6133" w:type="dxa"/>
            <w:vAlign w:val="center"/>
          </w:tcPr>
          <w:p w14:paraId="6E5CB8BA">
            <w:pPr>
              <w:spacing w:line="360" w:lineRule="auto"/>
              <w:rPr>
                <w:rFonts w:hint="eastAsia" w:ascii="仿宋" w:hAnsi="仿宋" w:eastAsia="仿宋" w:cs="仿宋"/>
                <w:color w:val="000000"/>
                <w:kern w:val="0"/>
                <w:sz w:val="28"/>
                <w:szCs w:val="28"/>
              </w:rPr>
            </w:pPr>
            <w:r>
              <w:rPr>
                <w:rFonts w:hint="eastAsia" w:ascii="仿宋" w:hAnsi="仿宋" w:eastAsia="仿宋" w:cs="仿宋"/>
                <w:sz w:val="28"/>
                <w:szCs w:val="28"/>
              </w:rPr>
              <w:t>5.2、信息终端设备报废更新。为了保障全院信息设备终端设备良好的使用状态，对那些使用年限长，故障率高，耗材消耗大，维修成本高的信息终端设备进行报废更新，但报废必须符合医院的相关制度，且最终由医院计算机管理科室的技术人员确认；设备报废需确保账册和实物一致，报废设备的处理残值归医院所有。报废更新的设备由医院按规定进行采购，报废机器按院方固定资产报废流程进行报废。</w:t>
            </w:r>
          </w:p>
        </w:tc>
      </w:tr>
      <w:tr w14:paraId="0F9C5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restart"/>
          </w:tcPr>
          <w:p w14:paraId="7FADAE12">
            <w:pPr>
              <w:spacing w:line="360" w:lineRule="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w:t>
            </w:r>
          </w:p>
        </w:tc>
        <w:tc>
          <w:tcPr>
            <w:tcW w:w="1339" w:type="dxa"/>
            <w:vMerge w:val="restart"/>
          </w:tcPr>
          <w:p w14:paraId="4AE873C8">
            <w:pPr>
              <w:spacing w:line="360" w:lineRule="auto"/>
              <w:rPr>
                <w:rFonts w:hint="eastAsia" w:ascii="仿宋" w:hAnsi="仿宋" w:eastAsia="仿宋" w:cs="仿宋"/>
                <w:color w:val="000000"/>
                <w:kern w:val="0"/>
                <w:sz w:val="28"/>
                <w:szCs w:val="28"/>
              </w:rPr>
            </w:pPr>
            <w:r>
              <w:rPr>
                <w:rFonts w:hint="eastAsia" w:ascii="仿宋" w:hAnsi="仿宋" w:eastAsia="仿宋" w:cs="仿宋"/>
                <w:sz w:val="28"/>
                <w:szCs w:val="28"/>
              </w:rPr>
              <w:t>基础网络运维服务</w:t>
            </w:r>
          </w:p>
        </w:tc>
        <w:tc>
          <w:tcPr>
            <w:tcW w:w="6133" w:type="dxa"/>
            <w:vAlign w:val="center"/>
          </w:tcPr>
          <w:p w14:paraId="5B9B4F74">
            <w:pPr>
              <w:spacing w:line="360" w:lineRule="auto"/>
              <w:rPr>
                <w:rFonts w:hint="eastAsia" w:ascii="仿宋" w:hAnsi="仿宋" w:eastAsia="仿宋" w:cs="仿宋"/>
                <w:color w:val="000000"/>
                <w:kern w:val="0"/>
                <w:sz w:val="28"/>
                <w:szCs w:val="28"/>
              </w:rPr>
            </w:pPr>
            <w:r>
              <w:rPr>
                <w:rFonts w:hint="eastAsia" w:ascii="仿宋" w:hAnsi="仿宋" w:eastAsia="仿宋" w:cs="仿宋"/>
                <w:sz w:val="28"/>
                <w:szCs w:val="28"/>
              </w:rPr>
              <w:t>6.1、</w:t>
            </w:r>
            <w:r>
              <w:rPr>
                <w:rFonts w:hint="eastAsia" w:ascii="仿宋" w:hAnsi="仿宋" w:eastAsia="仿宋" w:cs="仿宋"/>
                <w:sz w:val="28"/>
                <w:szCs w:val="28"/>
                <w:lang w:val="en-US" w:eastAsia="zh-CN"/>
              </w:rPr>
              <w:t>提供</w:t>
            </w:r>
            <w:r>
              <w:rPr>
                <w:rFonts w:hint="eastAsia" w:ascii="仿宋" w:hAnsi="仿宋" w:eastAsia="仿宋" w:cs="仿宋"/>
                <w:sz w:val="28"/>
                <w:szCs w:val="28"/>
              </w:rPr>
              <w:t>对医院</w:t>
            </w:r>
            <w:r>
              <w:rPr>
                <w:rFonts w:hint="eastAsia" w:ascii="仿宋" w:hAnsi="仿宋" w:eastAsia="仿宋" w:cs="仿宋"/>
                <w:sz w:val="28"/>
                <w:szCs w:val="28"/>
                <w:lang w:val="en-US" w:eastAsia="zh-CN"/>
              </w:rPr>
              <w:t>机</w:t>
            </w:r>
            <w:r>
              <w:rPr>
                <w:rFonts w:hint="eastAsia" w:ascii="仿宋" w:hAnsi="仿宋" w:eastAsia="仿宋" w:cs="仿宋"/>
                <w:sz w:val="28"/>
                <w:szCs w:val="28"/>
              </w:rPr>
              <w:t>汇聚层以下的各类网络交换机及弱电间综合布线系统等进行定期巡查、基础故障处理。</w:t>
            </w:r>
          </w:p>
        </w:tc>
      </w:tr>
      <w:tr w14:paraId="13E43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tcPr>
          <w:p w14:paraId="5CE500B9">
            <w:pPr>
              <w:spacing w:line="360" w:lineRule="auto"/>
              <w:rPr>
                <w:rFonts w:hint="eastAsia" w:ascii="仿宋" w:hAnsi="仿宋" w:eastAsia="仿宋" w:cs="仿宋"/>
                <w:color w:val="000000"/>
                <w:kern w:val="0"/>
                <w:sz w:val="28"/>
                <w:szCs w:val="28"/>
              </w:rPr>
            </w:pPr>
          </w:p>
        </w:tc>
        <w:tc>
          <w:tcPr>
            <w:tcW w:w="1339" w:type="dxa"/>
            <w:vMerge w:val="continue"/>
          </w:tcPr>
          <w:p w14:paraId="34D7E5CE">
            <w:pPr>
              <w:spacing w:line="360" w:lineRule="auto"/>
              <w:rPr>
                <w:rFonts w:hint="eastAsia" w:ascii="仿宋" w:hAnsi="仿宋" w:eastAsia="仿宋" w:cs="仿宋"/>
                <w:color w:val="000000"/>
                <w:kern w:val="0"/>
                <w:sz w:val="28"/>
                <w:szCs w:val="28"/>
              </w:rPr>
            </w:pPr>
          </w:p>
        </w:tc>
        <w:tc>
          <w:tcPr>
            <w:tcW w:w="6133" w:type="dxa"/>
            <w:vAlign w:val="center"/>
          </w:tcPr>
          <w:p w14:paraId="4CC9EC7C">
            <w:pPr>
              <w:spacing w:line="360" w:lineRule="auto"/>
              <w:rPr>
                <w:rFonts w:hint="eastAsia" w:ascii="仿宋" w:hAnsi="仿宋" w:eastAsia="仿宋" w:cs="仿宋"/>
                <w:color w:val="000000"/>
                <w:kern w:val="0"/>
                <w:sz w:val="28"/>
                <w:szCs w:val="28"/>
              </w:rPr>
            </w:pPr>
            <w:r>
              <w:rPr>
                <w:rFonts w:hint="eastAsia" w:ascii="仿宋" w:hAnsi="仿宋" w:eastAsia="仿宋" w:cs="仿宋"/>
                <w:sz w:val="28"/>
                <w:szCs w:val="28"/>
              </w:rPr>
              <w:t>6.2、</w:t>
            </w:r>
            <w:r>
              <w:rPr>
                <w:rFonts w:hint="eastAsia" w:ascii="仿宋" w:hAnsi="仿宋" w:eastAsia="仿宋" w:cs="仿宋"/>
                <w:sz w:val="28"/>
                <w:szCs w:val="28"/>
                <w:lang w:val="en-US" w:eastAsia="zh-CN"/>
              </w:rPr>
              <w:t>提供</w:t>
            </w:r>
            <w:r>
              <w:rPr>
                <w:rFonts w:hint="eastAsia" w:ascii="仿宋" w:hAnsi="仿宋" w:eastAsia="仿宋" w:cs="仿宋"/>
                <w:sz w:val="28"/>
                <w:szCs w:val="28"/>
              </w:rPr>
              <w:t>对医院的网络综合布线系统进行基本的维护（主要包括:信息面板、网络模块、弱电间配线架的基础维护），发现问题及时上报。</w:t>
            </w:r>
          </w:p>
        </w:tc>
      </w:tr>
      <w:tr w14:paraId="72A91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tcPr>
          <w:p w14:paraId="60F392EE">
            <w:pPr>
              <w:spacing w:line="360" w:lineRule="auto"/>
              <w:rPr>
                <w:rFonts w:hint="eastAsia" w:ascii="仿宋" w:hAnsi="仿宋" w:eastAsia="仿宋" w:cs="仿宋"/>
                <w:color w:val="000000"/>
                <w:kern w:val="0"/>
                <w:sz w:val="28"/>
                <w:szCs w:val="28"/>
              </w:rPr>
            </w:pPr>
          </w:p>
        </w:tc>
        <w:tc>
          <w:tcPr>
            <w:tcW w:w="1339" w:type="dxa"/>
            <w:vMerge w:val="continue"/>
          </w:tcPr>
          <w:p w14:paraId="7256872A">
            <w:pPr>
              <w:spacing w:line="360" w:lineRule="auto"/>
              <w:rPr>
                <w:rFonts w:hint="eastAsia" w:ascii="仿宋" w:hAnsi="仿宋" w:eastAsia="仿宋" w:cs="仿宋"/>
                <w:color w:val="000000"/>
                <w:kern w:val="0"/>
                <w:sz w:val="28"/>
                <w:szCs w:val="28"/>
              </w:rPr>
            </w:pPr>
          </w:p>
        </w:tc>
        <w:tc>
          <w:tcPr>
            <w:tcW w:w="6133" w:type="dxa"/>
            <w:vAlign w:val="center"/>
          </w:tcPr>
          <w:p w14:paraId="1BE58862">
            <w:pPr>
              <w:tabs>
                <w:tab w:val="left" w:pos="0"/>
              </w:tabs>
              <w:spacing w:line="360" w:lineRule="auto"/>
              <w:jc w:val="left"/>
              <w:rPr>
                <w:rFonts w:hint="eastAsia" w:ascii="仿宋" w:hAnsi="仿宋" w:eastAsia="仿宋" w:cs="仿宋"/>
                <w:color w:val="000000"/>
                <w:kern w:val="0"/>
                <w:sz w:val="28"/>
                <w:szCs w:val="28"/>
              </w:rPr>
            </w:pPr>
            <w:r>
              <w:rPr>
                <w:rFonts w:hint="eastAsia" w:ascii="仿宋" w:hAnsi="仿宋" w:eastAsia="仿宋" w:cs="仿宋"/>
                <w:sz w:val="28"/>
                <w:szCs w:val="28"/>
              </w:rPr>
              <w:t>6.3、</w:t>
            </w:r>
            <w:r>
              <w:rPr>
                <w:rFonts w:hint="eastAsia" w:ascii="仿宋" w:hAnsi="仿宋" w:eastAsia="仿宋" w:cs="仿宋"/>
                <w:sz w:val="28"/>
                <w:szCs w:val="28"/>
                <w:lang w:val="en-US" w:eastAsia="zh-CN"/>
              </w:rPr>
              <w:t>提供</w:t>
            </w:r>
            <w:r>
              <w:rPr>
                <w:rFonts w:hint="eastAsia" w:ascii="仿宋" w:hAnsi="仿宋" w:eastAsia="仿宋" w:cs="仿宋"/>
                <w:sz w:val="28"/>
                <w:szCs w:val="28"/>
              </w:rPr>
              <w:t>对医院的桌面端网络故障处理，包括如终端网络故障现场检查、IP错误、掉线等桌面网络的基础故障处理。</w:t>
            </w:r>
          </w:p>
        </w:tc>
      </w:tr>
      <w:tr w14:paraId="1C3B8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tcPr>
          <w:p w14:paraId="089AD48E">
            <w:pPr>
              <w:spacing w:line="360" w:lineRule="auto"/>
              <w:rPr>
                <w:rFonts w:hint="eastAsia" w:ascii="仿宋" w:hAnsi="仿宋" w:eastAsia="仿宋" w:cs="仿宋"/>
                <w:color w:val="000000"/>
                <w:kern w:val="0"/>
                <w:sz w:val="28"/>
                <w:szCs w:val="28"/>
              </w:rPr>
            </w:pPr>
          </w:p>
        </w:tc>
        <w:tc>
          <w:tcPr>
            <w:tcW w:w="1339" w:type="dxa"/>
            <w:vMerge w:val="continue"/>
          </w:tcPr>
          <w:p w14:paraId="411FEEB9">
            <w:pPr>
              <w:spacing w:line="360" w:lineRule="auto"/>
              <w:rPr>
                <w:rFonts w:hint="eastAsia" w:ascii="仿宋" w:hAnsi="仿宋" w:eastAsia="仿宋" w:cs="仿宋"/>
                <w:color w:val="000000"/>
                <w:kern w:val="0"/>
                <w:sz w:val="28"/>
                <w:szCs w:val="28"/>
              </w:rPr>
            </w:pPr>
          </w:p>
        </w:tc>
        <w:tc>
          <w:tcPr>
            <w:tcW w:w="6133" w:type="dxa"/>
            <w:vAlign w:val="center"/>
          </w:tcPr>
          <w:p w14:paraId="08991C9E">
            <w:pPr>
              <w:tabs>
                <w:tab w:val="left" w:pos="0"/>
              </w:tabs>
              <w:spacing w:line="360" w:lineRule="auto"/>
              <w:jc w:val="left"/>
              <w:rPr>
                <w:rFonts w:hint="eastAsia" w:ascii="仿宋" w:hAnsi="仿宋" w:eastAsia="仿宋" w:cs="仿宋"/>
                <w:color w:val="000000"/>
                <w:kern w:val="0"/>
                <w:sz w:val="28"/>
                <w:szCs w:val="28"/>
              </w:rPr>
            </w:pPr>
            <w:r>
              <w:rPr>
                <w:rFonts w:hint="eastAsia" w:ascii="仿宋" w:hAnsi="仿宋" w:eastAsia="仿宋" w:cs="仿宋"/>
                <w:sz w:val="28"/>
                <w:szCs w:val="28"/>
              </w:rPr>
              <w:t>6.4、其他桌面端网络故障处理，接到报修后作出基础判断，在经现场检查不能处理时立即转告或推送给采购方指定的相关授权技术人员处理。</w:t>
            </w:r>
          </w:p>
        </w:tc>
      </w:tr>
      <w:tr w14:paraId="1C7F6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tcPr>
          <w:p w14:paraId="474C6BE2">
            <w:pPr>
              <w:spacing w:line="360" w:lineRule="auto"/>
              <w:rPr>
                <w:rFonts w:hint="eastAsia" w:ascii="仿宋" w:hAnsi="仿宋" w:eastAsia="仿宋" w:cs="仿宋"/>
                <w:color w:val="000000"/>
                <w:kern w:val="0"/>
                <w:sz w:val="28"/>
                <w:szCs w:val="28"/>
              </w:rPr>
            </w:pPr>
          </w:p>
        </w:tc>
        <w:tc>
          <w:tcPr>
            <w:tcW w:w="1339" w:type="dxa"/>
            <w:vMerge w:val="continue"/>
          </w:tcPr>
          <w:p w14:paraId="55FBCD4F">
            <w:pPr>
              <w:spacing w:line="360" w:lineRule="auto"/>
              <w:rPr>
                <w:rFonts w:hint="eastAsia" w:ascii="仿宋" w:hAnsi="仿宋" w:eastAsia="仿宋" w:cs="仿宋"/>
                <w:color w:val="000000"/>
                <w:kern w:val="0"/>
                <w:sz w:val="28"/>
                <w:szCs w:val="28"/>
              </w:rPr>
            </w:pPr>
          </w:p>
        </w:tc>
        <w:tc>
          <w:tcPr>
            <w:tcW w:w="6133" w:type="dxa"/>
            <w:vAlign w:val="center"/>
          </w:tcPr>
          <w:p w14:paraId="695F7CF4">
            <w:pPr>
              <w:tabs>
                <w:tab w:val="left" w:pos="0"/>
              </w:tabs>
              <w:spacing w:line="360" w:lineRule="auto"/>
              <w:jc w:val="left"/>
              <w:rPr>
                <w:rFonts w:hint="eastAsia" w:ascii="仿宋" w:hAnsi="仿宋" w:eastAsia="仿宋" w:cs="仿宋"/>
                <w:color w:val="000000"/>
                <w:kern w:val="0"/>
                <w:sz w:val="28"/>
                <w:szCs w:val="28"/>
              </w:rPr>
            </w:pPr>
            <w:r>
              <w:rPr>
                <w:rFonts w:hint="eastAsia" w:ascii="仿宋" w:hAnsi="仿宋" w:eastAsia="仿宋" w:cs="仿宋"/>
                <w:sz w:val="28"/>
                <w:szCs w:val="28"/>
              </w:rPr>
              <w:t>6.5、现场人员不能解决的问题，即刻安排资深网络工程师2小时内到达现场，采取有效的措施尽快恢复网络正常运行。应急响应的资深网络工程师至少需具备华三或华为HCIP-WLAN（无线网工程师）、HCIA-Access（接入网工程师）、HCIP-Routing &amp; Switching（路由交换工程师）三项网络技术资格证书。</w:t>
            </w:r>
          </w:p>
        </w:tc>
      </w:tr>
      <w:tr w14:paraId="6AB6E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restart"/>
          </w:tcPr>
          <w:p w14:paraId="7AF8D92D">
            <w:pPr>
              <w:spacing w:line="360" w:lineRule="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7</w:t>
            </w:r>
          </w:p>
        </w:tc>
        <w:tc>
          <w:tcPr>
            <w:tcW w:w="1339" w:type="dxa"/>
            <w:vMerge w:val="restart"/>
          </w:tcPr>
          <w:p w14:paraId="6A6B55E4">
            <w:pPr>
              <w:spacing w:line="360" w:lineRule="auto"/>
              <w:rPr>
                <w:rFonts w:hint="eastAsia" w:ascii="仿宋" w:hAnsi="仿宋" w:eastAsia="仿宋" w:cs="仿宋"/>
                <w:color w:val="000000"/>
                <w:kern w:val="0"/>
                <w:sz w:val="28"/>
                <w:szCs w:val="28"/>
              </w:rPr>
            </w:pPr>
            <w:r>
              <w:rPr>
                <w:rFonts w:hint="eastAsia" w:ascii="仿宋" w:hAnsi="仿宋" w:eastAsia="仿宋" w:cs="仿宋"/>
                <w:sz w:val="28"/>
                <w:szCs w:val="28"/>
              </w:rPr>
              <w:t>定期设备保养服务</w:t>
            </w:r>
          </w:p>
        </w:tc>
        <w:tc>
          <w:tcPr>
            <w:tcW w:w="6133" w:type="dxa"/>
            <w:vAlign w:val="center"/>
          </w:tcPr>
          <w:p w14:paraId="24C8112D">
            <w:pPr>
              <w:spacing w:line="360" w:lineRule="auto"/>
              <w:rPr>
                <w:rFonts w:hint="eastAsia" w:ascii="仿宋" w:hAnsi="仿宋" w:eastAsia="仿宋" w:cs="仿宋"/>
                <w:color w:val="000000"/>
                <w:kern w:val="0"/>
                <w:sz w:val="28"/>
                <w:szCs w:val="28"/>
              </w:rPr>
            </w:pPr>
            <w:r>
              <w:rPr>
                <w:rFonts w:hint="eastAsia" w:ascii="仿宋" w:hAnsi="仿宋" w:eastAsia="仿宋" w:cs="仿宋"/>
                <w:sz w:val="28"/>
                <w:szCs w:val="28"/>
              </w:rPr>
              <w:t>7.1、针对重点部门(急门诊收费处、医生办、院领导)提供终端设备定期保养服务，合同期内不少于2次，执行时间由双方协商确定：</w:t>
            </w:r>
          </w:p>
        </w:tc>
      </w:tr>
      <w:tr w14:paraId="7A2D4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tcPr>
          <w:p w14:paraId="2BA6E99D">
            <w:pPr>
              <w:spacing w:line="360" w:lineRule="auto"/>
              <w:rPr>
                <w:rFonts w:hint="eastAsia" w:ascii="仿宋" w:hAnsi="仿宋" w:eastAsia="仿宋" w:cs="仿宋"/>
                <w:color w:val="000000"/>
                <w:kern w:val="0"/>
                <w:sz w:val="28"/>
                <w:szCs w:val="28"/>
              </w:rPr>
            </w:pPr>
          </w:p>
        </w:tc>
        <w:tc>
          <w:tcPr>
            <w:tcW w:w="1339" w:type="dxa"/>
            <w:vMerge w:val="continue"/>
          </w:tcPr>
          <w:p w14:paraId="5D5CD9B9">
            <w:pPr>
              <w:spacing w:line="360" w:lineRule="auto"/>
              <w:rPr>
                <w:rFonts w:hint="eastAsia" w:ascii="仿宋" w:hAnsi="仿宋" w:eastAsia="仿宋" w:cs="仿宋"/>
                <w:color w:val="000000"/>
                <w:kern w:val="0"/>
                <w:sz w:val="28"/>
                <w:szCs w:val="28"/>
              </w:rPr>
            </w:pPr>
          </w:p>
        </w:tc>
        <w:tc>
          <w:tcPr>
            <w:tcW w:w="6133" w:type="dxa"/>
            <w:vAlign w:val="center"/>
          </w:tcPr>
          <w:p w14:paraId="09DF9243">
            <w:pPr>
              <w:spacing w:line="360" w:lineRule="auto"/>
              <w:rPr>
                <w:rFonts w:hint="eastAsia" w:ascii="仿宋" w:hAnsi="仿宋" w:eastAsia="仿宋" w:cs="仿宋"/>
                <w:color w:val="000000"/>
                <w:kern w:val="0"/>
                <w:sz w:val="28"/>
                <w:szCs w:val="28"/>
              </w:rPr>
            </w:pPr>
            <w:r>
              <w:rPr>
                <w:rFonts w:hint="eastAsia" w:ascii="仿宋" w:hAnsi="仿宋" w:eastAsia="仿宋" w:cs="仿宋"/>
                <w:sz w:val="28"/>
                <w:szCs w:val="28"/>
              </w:rPr>
              <w:t>7.2、提供设备的硬件清洁及性能检测，预防设备故障，确保硬件工作健康；</w:t>
            </w:r>
          </w:p>
        </w:tc>
      </w:tr>
      <w:tr w14:paraId="1CC51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tcPr>
          <w:p w14:paraId="750A6CF6">
            <w:pPr>
              <w:spacing w:line="360" w:lineRule="auto"/>
              <w:rPr>
                <w:rFonts w:hint="eastAsia" w:ascii="仿宋" w:hAnsi="仿宋" w:eastAsia="仿宋" w:cs="仿宋"/>
                <w:color w:val="000000"/>
                <w:kern w:val="0"/>
                <w:sz w:val="28"/>
                <w:szCs w:val="28"/>
              </w:rPr>
            </w:pPr>
          </w:p>
        </w:tc>
        <w:tc>
          <w:tcPr>
            <w:tcW w:w="1339" w:type="dxa"/>
            <w:vMerge w:val="continue"/>
          </w:tcPr>
          <w:p w14:paraId="3886E4F7">
            <w:pPr>
              <w:spacing w:line="360" w:lineRule="auto"/>
              <w:rPr>
                <w:rFonts w:hint="eastAsia" w:ascii="仿宋" w:hAnsi="仿宋" w:eastAsia="仿宋" w:cs="仿宋"/>
                <w:color w:val="000000"/>
                <w:kern w:val="0"/>
                <w:sz w:val="28"/>
                <w:szCs w:val="28"/>
              </w:rPr>
            </w:pPr>
          </w:p>
        </w:tc>
        <w:tc>
          <w:tcPr>
            <w:tcW w:w="6133" w:type="dxa"/>
            <w:vAlign w:val="center"/>
          </w:tcPr>
          <w:p w14:paraId="25760BC0">
            <w:pPr>
              <w:spacing w:line="360" w:lineRule="auto"/>
              <w:rPr>
                <w:rFonts w:hint="eastAsia" w:ascii="仿宋" w:hAnsi="仿宋" w:eastAsia="仿宋" w:cs="仿宋"/>
                <w:color w:val="000000"/>
                <w:kern w:val="0"/>
                <w:sz w:val="28"/>
                <w:szCs w:val="28"/>
              </w:rPr>
            </w:pPr>
            <w:r>
              <w:rPr>
                <w:rFonts w:hint="eastAsia" w:ascii="仿宋" w:hAnsi="仿宋" w:eastAsia="仿宋" w:cs="仿宋"/>
                <w:sz w:val="28"/>
                <w:szCs w:val="28"/>
              </w:rPr>
              <w:t>7.3、确保设备使用安全、规范化整理，进行设备维护保养时，酌情增派相应人员协助完成。</w:t>
            </w:r>
          </w:p>
        </w:tc>
      </w:tr>
      <w:tr w14:paraId="6D531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restart"/>
          </w:tcPr>
          <w:p w14:paraId="00295194">
            <w:pPr>
              <w:spacing w:line="360" w:lineRule="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8</w:t>
            </w:r>
          </w:p>
        </w:tc>
        <w:tc>
          <w:tcPr>
            <w:tcW w:w="1339" w:type="dxa"/>
            <w:vMerge w:val="restart"/>
          </w:tcPr>
          <w:p w14:paraId="387F3D67">
            <w:pPr>
              <w:spacing w:line="360" w:lineRule="auto"/>
              <w:rPr>
                <w:rFonts w:hint="eastAsia" w:ascii="仿宋" w:hAnsi="仿宋" w:eastAsia="仿宋" w:cs="仿宋"/>
                <w:color w:val="000000"/>
                <w:kern w:val="0"/>
                <w:sz w:val="28"/>
                <w:szCs w:val="28"/>
              </w:rPr>
            </w:pPr>
            <w:r>
              <w:rPr>
                <w:rFonts w:hint="eastAsia" w:ascii="仿宋" w:hAnsi="仿宋" w:eastAsia="仿宋" w:cs="仿宋"/>
                <w:sz w:val="28"/>
                <w:szCs w:val="28"/>
              </w:rPr>
              <w:t>咨询规划服务</w:t>
            </w:r>
          </w:p>
        </w:tc>
        <w:tc>
          <w:tcPr>
            <w:tcW w:w="6133" w:type="dxa"/>
            <w:vAlign w:val="center"/>
          </w:tcPr>
          <w:p w14:paraId="3D4E761A">
            <w:pPr>
              <w:spacing w:line="360" w:lineRule="auto"/>
              <w:jc w:val="left"/>
              <w:rPr>
                <w:rFonts w:hint="eastAsia" w:ascii="仿宋" w:hAnsi="仿宋" w:eastAsia="仿宋" w:cs="仿宋"/>
                <w:color w:val="000000"/>
                <w:kern w:val="0"/>
                <w:sz w:val="28"/>
                <w:szCs w:val="28"/>
              </w:rPr>
            </w:pPr>
            <w:r>
              <w:rPr>
                <w:rFonts w:hint="eastAsia" w:ascii="仿宋" w:hAnsi="仿宋" w:eastAsia="仿宋" w:cs="仿宋"/>
                <w:sz w:val="28"/>
                <w:szCs w:val="28"/>
              </w:rPr>
              <w:t>8.1、协助进行医院服务资产的全面梳理、帮助建立医院运维知识库，网络拓扑、资产明细、事件记录、设备互联情况等文档输出，提供保障系统稳定运行必要的技术资料；</w:t>
            </w:r>
          </w:p>
        </w:tc>
      </w:tr>
      <w:tr w14:paraId="763F4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tcPr>
          <w:p w14:paraId="034311D9">
            <w:pPr>
              <w:spacing w:line="360" w:lineRule="auto"/>
              <w:rPr>
                <w:rFonts w:hint="eastAsia" w:ascii="仿宋" w:hAnsi="仿宋" w:eastAsia="仿宋" w:cs="仿宋"/>
                <w:color w:val="000000"/>
                <w:kern w:val="0"/>
                <w:sz w:val="28"/>
                <w:szCs w:val="28"/>
              </w:rPr>
            </w:pPr>
          </w:p>
        </w:tc>
        <w:tc>
          <w:tcPr>
            <w:tcW w:w="1339" w:type="dxa"/>
            <w:vMerge w:val="continue"/>
          </w:tcPr>
          <w:p w14:paraId="7625B001">
            <w:pPr>
              <w:spacing w:line="360" w:lineRule="auto"/>
              <w:rPr>
                <w:rFonts w:hint="eastAsia" w:ascii="仿宋" w:hAnsi="仿宋" w:eastAsia="仿宋" w:cs="仿宋"/>
                <w:color w:val="000000"/>
                <w:kern w:val="0"/>
                <w:sz w:val="28"/>
                <w:szCs w:val="28"/>
              </w:rPr>
            </w:pPr>
          </w:p>
        </w:tc>
        <w:tc>
          <w:tcPr>
            <w:tcW w:w="6133" w:type="dxa"/>
            <w:vAlign w:val="center"/>
          </w:tcPr>
          <w:p w14:paraId="20642FDC">
            <w:pPr>
              <w:spacing w:line="360" w:lineRule="auto"/>
              <w:jc w:val="left"/>
              <w:rPr>
                <w:rFonts w:hint="eastAsia" w:ascii="仿宋" w:hAnsi="仿宋" w:eastAsia="仿宋" w:cs="仿宋"/>
                <w:color w:val="000000"/>
                <w:kern w:val="0"/>
                <w:sz w:val="28"/>
                <w:szCs w:val="28"/>
              </w:rPr>
            </w:pPr>
            <w:r>
              <w:rPr>
                <w:rFonts w:hint="eastAsia" w:ascii="仿宋" w:hAnsi="仿宋" w:eastAsia="仿宋" w:cs="仿宋"/>
                <w:sz w:val="28"/>
                <w:szCs w:val="28"/>
              </w:rPr>
              <w:t>8.2、确保医院IT基础架构技术的合理性、实用性、安全性，给出整改优化建议，随时接受院方的技术咨询；</w:t>
            </w:r>
          </w:p>
        </w:tc>
      </w:tr>
      <w:tr w14:paraId="6DC58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tcPr>
          <w:p w14:paraId="523CF95B">
            <w:pPr>
              <w:spacing w:line="360" w:lineRule="auto"/>
              <w:rPr>
                <w:rFonts w:hint="eastAsia" w:ascii="仿宋" w:hAnsi="仿宋" w:eastAsia="仿宋" w:cs="仿宋"/>
                <w:color w:val="000000"/>
                <w:kern w:val="0"/>
                <w:sz w:val="28"/>
                <w:szCs w:val="28"/>
              </w:rPr>
            </w:pPr>
          </w:p>
        </w:tc>
        <w:tc>
          <w:tcPr>
            <w:tcW w:w="1339" w:type="dxa"/>
            <w:vMerge w:val="continue"/>
          </w:tcPr>
          <w:p w14:paraId="24096C6F">
            <w:pPr>
              <w:spacing w:line="360" w:lineRule="auto"/>
              <w:rPr>
                <w:rFonts w:hint="eastAsia" w:ascii="仿宋" w:hAnsi="仿宋" w:eastAsia="仿宋" w:cs="仿宋"/>
                <w:color w:val="000000"/>
                <w:kern w:val="0"/>
                <w:sz w:val="28"/>
                <w:szCs w:val="28"/>
              </w:rPr>
            </w:pPr>
          </w:p>
        </w:tc>
        <w:tc>
          <w:tcPr>
            <w:tcW w:w="6133" w:type="dxa"/>
            <w:vAlign w:val="center"/>
          </w:tcPr>
          <w:p w14:paraId="2FEA8F13">
            <w:pPr>
              <w:spacing w:line="360" w:lineRule="auto"/>
              <w:rPr>
                <w:rFonts w:hint="eastAsia" w:ascii="仿宋" w:hAnsi="仿宋" w:eastAsia="仿宋" w:cs="仿宋"/>
                <w:color w:val="000000"/>
                <w:kern w:val="0"/>
                <w:sz w:val="28"/>
                <w:szCs w:val="28"/>
              </w:rPr>
            </w:pPr>
            <w:r>
              <w:rPr>
                <w:rFonts w:hint="eastAsia" w:ascii="仿宋" w:hAnsi="仿宋" w:eastAsia="仿宋" w:cs="仿宋"/>
                <w:sz w:val="28"/>
                <w:szCs w:val="28"/>
              </w:rPr>
              <w:t>8.3、对医院网络信息系统的需求变化与客户展开密切合作，协助对医院网络及信息系统进行完善的设计和实施；协助新系统上线部署与相关测试等。</w:t>
            </w:r>
          </w:p>
        </w:tc>
      </w:tr>
      <w:tr w14:paraId="2A19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restart"/>
          </w:tcPr>
          <w:p w14:paraId="7E40C4C8">
            <w:pPr>
              <w:spacing w:line="360" w:lineRule="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9</w:t>
            </w:r>
          </w:p>
        </w:tc>
        <w:tc>
          <w:tcPr>
            <w:tcW w:w="1339" w:type="dxa"/>
            <w:vMerge w:val="restart"/>
          </w:tcPr>
          <w:p w14:paraId="72E45D47">
            <w:pPr>
              <w:spacing w:line="360" w:lineRule="auto"/>
              <w:rPr>
                <w:rFonts w:hint="eastAsia" w:ascii="仿宋" w:hAnsi="仿宋" w:eastAsia="仿宋" w:cs="仿宋"/>
                <w:color w:val="000000"/>
                <w:kern w:val="0"/>
                <w:sz w:val="28"/>
                <w:szCs w:val="28"/>
              </w:rPr>
            </w:pPr>
            <w:r>
              <w:rPr>
                <w:rFonts w:hint="eastAsia" w:ascii="仿宋" w:hAnsi="仿宋" w:eastAsia="仿宋" w:cs="仿宋"/>
                <w:sz w:val="28"/>
                <w:szCs w:val="28"/>
              </w:rPr>
              <w:t>应急响应服务</w:t>
            </w:r>
          </w:p>
        </w:tc>
        <w:tc>
          <w:tcPr>
            <w:tcW w:w="6133" w:type="dxa"/>
            <w:vAlign w:val="center"/>
          </w:tcPr>
          <w:p w14:paraId="5D24EDBE">
            <w:pPr>
              <w:spacing w:line="360" w:lineRule="auto"/>
              <w:rPr>
                <w:rFonts w:hint="eastAsia" w:ascii="仿宋" w:hAnsi="仿宋" w:eastAsia="仿宋" w:cs="仿宋"/>
                <w:color w:val="000000"/>
                <w:kern w:val="0"/>
                <w:sz w:val="28"/>
                <w:szCs w:val="28"/>
              </w:rPr>
            </w:pPr>
            <w:r>
              <w:rPr>
                <w:rFonts w:hint="eastAsia" w:ascii="仿宋" w:hAnsi="仿宋" w:eastAsia="仿宋" w:cs="仿宋"/>
                <w:sz w:val="28"/>
                <w:szCs w:val="28"/>
              </w:rPr>
              <w:t>9.1、由于医院提供 7x24 小时公众服务，故重要级别很高。能对院方出现的偶发性严重硬件故障（网络、服务器、存储）提供应急响应服务，根据事件等级可提供远程加2小时上门服务时效。</w:t>
            </w:r>
          </w:p>
        </w:tc>
      </w:tr>
      <w:tr w14:paraId="4FA98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tcPr>
          <w:p w14:paraId="030E0B0C">
            <w:pPr>
              <w:spacing w:line="360" w:lineRule="auto"/>
              <w:rPr>
                <w:rFonts w:hint="eastAsia" w:ascii="仿宋" w:hAnsi="仿宋" w:eastAsia="仿宋" w:cs="仿宋"/>
                <w:color w:val="000000"/>
                <w:kern w:val="0"/>
                <w:sz w:val="28"/>
                <w:szCs w:val="28"/>
              </w:rPr>
            </w:pPr>
          </w:p>
        </w:tc>
        <w:tc>
          <w:tcPr>
            <w:tcW w:w="1339" w:type="dxa"/>
            <w:vMerge w:val="continue"/>
          </w:tcPr>
          <w:p w14:paraId="239D01FB">
            <w:pPr>
              <w:spacing w:line="360" w:lineRule="auto"/>
              <w:rPr>
                <w:rFonts w:hint="eastAsia" w:ascii="仿宋" w:hAnsi="仿宋" w:eastAsia="仿宋" w:cs="仿宋"/>
                <w:color w:val="000000"/>
                <w:kern w:val="0"/>
                <w:sz w:val="28"/>
                <w:szCs w:val="28"/>
              </w:rPr>
            </w:pPr>
          </w:p>
        </w:tc>
        <w:tc>
          <w:tcPr>
            <w:tcW w:w="6133" w:type="dxa"/>
            <w:vAlign w:val="center"/>
          </w:tcPr>
          <w:p w14:paraId="1B5DCDB3">
            <w:pPr>
              <w:spacing w:line="360" w:lineRule="auto"/>
              <w:rPr>
                <w:rFonts w:hint="eastAsia" w:ascii="仿宋" w:hAnsi="仿宋" w:eastAsia="仿宋" w:cs="仿宋"/>
                <w:color w:val="000000"/>
                <w:kern w:val="0"/>
                <w:sz w:val="28"/>
                <w:szCs w:val="28"/>
              </w:rPr>
            </w:pPr>
            <w:r>
              <w:rPr>
                <w:rFonts w:hint="eastAsia" w:ascii="仿宋" w:hAnsi="仿宋" w:eastAsia="仿宋" w:cs="仿宋"/>
                <w:sz w:val="28"/>
                <w:szCs w:val="28"/>
              </w:rPr>
              <w:t>9.2、</w:t>
            </w:r>
            <w:r>
              <w:rPr>
                <w:rFonts w:hint="eastAsia" w:ascii="仿宋" w:hAnsi="仿宋" w:eastAsia="仿宋" w:cs="仿宋"/>
                <w:sz w:val="28"/>
                <w:szCs w:val="28"/>
                <w:lang w:val="en-US" w:eastAsia="zh-CN"/>
              </w:rPr>
              <w:t>提供</w:t>
            </w:r>
            <w:r>
              <w:rPr>
                <w:rFonts w:hint="eastAsia" w:ascii="仿宋" w:hAnsi="仿宋" w:eastAsia="仿宋" w:cs="仿宋"/>
                <w:sz w:val="28"/>
                <w:szCs w:val="28"/>
              </w:rPr>
              <w:t>除现场驻点服务人员外，有较强的应急支撑技术团队，协助解决现场服务人员不能解决的问题，为确保遇到重大故障能及时处理。</w:t>
            </w:r>
          </w:p>
        </w:tc>
      </w:tr>
      <w:tr w14:paraId="4DA53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tcPr>
          <w:p w14:paraId="4A55DC0E">
            <w:pPr>
              <w:spacing w:line="360" w:lineRule="auto"/>
              <w:rPr>
                <w:rFonts w:hint="eastAsia" w:ascii="仿宋" w:hAnsi="仿宋" w:eastAsia="仿宋" w:cs="仿宋"/>
                <w:color w:val="000000"/>
                <w:kern w:val="0"/>
                <w:sz w:val="28"/>
                <w:szCs w:val="28"/>
              </w:rPr>
            </w:pPr>
          </w:p>
        </w:tc>
        <w:tc>
          <w:tcPr>
            <w:tcW w:w="1339" w:type="dxa"/>
            <w:vMerge w:val="continue"/>
          </w:tcPr>
          <w:p w14:paraId="78711A9D">
            <w:pPr>
              <w:spacing w:line="360" w:lineRule="auto"/>
              <w:rPr>
                <w:rFonts w:hint="eastAsia" w:ascii="仿宋" w:hAnsi="仿宋" w:eastAsia="仿宋" w:cs="仿宋"/>
                <w:color w:val="000000"/>
                <w:kern w:val="0"/>
                <w:sz w:val="28"/>
                <w:szCs w:val="28"/>
              </w:rPr>
            </w:pPr>
          </w:p>
        </w:tc>
        <w:tc>
          <w:tcPr>
            <w:tcW w:w="6133" w:type="dxa"/>
            <w:vAlign w:val="center"/>
          </w:tcPr>
          <w:p w14:paraId="0BEA4FC6">
            <w:pPr>
              <w:spacing w:line="360" w:lineRule="auto"/>
              <w:rPr>
                <w:rFonts w:hint="eastAsia" w:ascii="仿宋" w:hAnsi="仿宋" w:eastAsia="仿宋" w:cs="仿宋"/>
                <w:color w:val="000000"/>
                <w:kern w:val="0"/>
                <w:sz w:val="28"/>
                <w:szCs w:val="28"/>
              </w:rPr>
            </w:pPr>
            <w:r>
              <w:rPr>
                <w:rFonts w:hint="eastAsia" w:ascii="仿宋" w:hAnsi="仿宋" w:eastAsia="仿宋" w:cs="仿宋"/>
                <w:sz w:val="28"/>
                <w:szCs w:val="28"/>
              </w:rPr>
              <w:t>9.3、对于每次应急响应，</w:t>
            </w:r>
            <w:r>
              <w:rPr>
                <w:rFonts w:hint="eastAsia" w:ascii="仿宋" w:hAnsi="仿宋" w:eastAsia="仿宋" w:cs="仿宋"/>
                <w:sz w:val="28"/>
                <w:szCs w:val="28"/>
                <w:lang w:val="en-US" w:eastAsia="zh-CN"/>
              </w:rPr>
              <w:t>提供</w:t>
            </w:r>
            <w:r>
              <w:rPr>
                <w:rFonts w:hint="eastAsia" w:ascii="仿宋" w:hAnsi="仿宋" w:eastAsia="仿宋" w:cs="仿宋"/>
                <w:sz w:val="28"/>
                <w:szCs w:val="28"/>
              </w:rPr>
              <w:t>现场资料</w:t>
            </w:r>
            <w:r>
              <w:rPr>
                <w:rFonts w:hint="eastAsia" w:ascii="仿宋" w:hAnsi="仿宋" w:eastAsia="仿宋" w:cs="仿宋"/>
                <w:sz w:val="28"/>
                <w:szCs w:val="28"/>
                <w:lang w:val="en-US" w:eastAsia="zh-CN"/>
              </w:rPr>
              <w:t>保存</w:t>
            </w:r>
            <w:r>
              <w:rPr>
                <w:rFonts w:hint="eastAsia" w:ascii="仿宋" w:hAnsi="仿宋" w:eastAsia="仿宋" w:cs="仿宋"/>
                <w:sz w:val="28"/>
                <w:szCs w:val="28"/>
              </w:rPr>
              <w:t>，分析产生问题的原因，记录维护使用的方法、步骤和参数，制定防止类似问题发生的解决方法。</w:t>
            </w:r>
          </w:p>
        </w:tc>
      </w:tr>
      <w:tr w14:paraId="284C3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tcPr>
          <w:p w14:paraId="5191CE8E">
            <w:pPr>
              <w:spacing w:line="360" w:lineRule="auto"/>
              <w:rPr>
                <w:rFonts w:hint="eastAsia" w:ascii="仿宋" w:hAnsi="仿宋" w:eastAsia="仿宋" w:cs="仿宋"/>
                <w:color w:val="000000"/>
                <w:kern w:val="0"/>
                <w:sz w:val="28"/>
                <w:szCs w:val="28"/>
              </w:rPr>
            </w:pPr>
          </w:p>
        </w:tc>
        <w:tc>
          <w:tcPr>
            <w:tcW w:w="1339" w:type="dxa"/>
            <w:vMerge w:val="continue"/>
          </w:tcPr>
          <w:p w14:paraId="07A06B08">
            <w:pPr>
              <w:spacing w:line="360" w:lineRule="auto"/>
              <w:rPr>
                <w:rFonts w:hint="eastAsia" w:ascii="仿宋" w:hAnsi="仿宋" w:eastAsia="仿宋" w:cs="仿宋"/>
                <w:color w:val="000000"/>
                <w:kern w:val="0"/>
                <w:sz w:val="28"/>
                <w:szCs w:val="28"/>
              </w:rPr>
            </w:pPr>
          </w:p>
        </w:tc>
        <w:tc>
          <w:tcPr>
            <w:tcW w:w="6133" w:type="dxa"/>
            <w:vAlign w:val="center"/>
          </w:tcPr>
          <w:p w14:paraId="733E5D36">
            <w:pPr>
              <w:spacing w:line="360" w:lineRule="auto"/>
              <w:rPr>
                <w:rFonts w:hint="eastAsia" w:ascii="仿宋" w:hAnsi="仿宋" w:eastAsia="仿宋" w:cs="仿宋"/>
                <w:color w:val="000000"/>
                <w:kern w:val="0"/>
                <w:sz w:val="28"/>
                <w:szCs w:val="28"/>
              </w:rPr>
            </w:pPr>
            <w:r>
              <w:rPr>
                <w:rFonts w:hint="eastAsia" w:ascii="仿宋" w:hAnsi="仿宋" w:eastAsia="仿宋" w:cs="仿宋"/>
                <w:sz w:val="28"/>
                <w:szCs w:val="28"/>
              </w:rPr>
              <w:t>9.4、提供终端信息安全应急上门服务，上门服务人员具备较强的综合素质，至少具备华三或华为HCIA-Security（安全工程师）、HCIA-Access（接入网工程师）、HCIA-Cloud Computing（云计算工程师）、HCIA-Big Data（大数据工程师）</w:t>
            </w:r>
            <w:r>
              <w:rPr>
                <w:rFonts w:hint="eastAsia" w:ascii="仿宋" w:hAnsi="仿宋" w:eastAsia="仿宋" w:cs="仿宋"/>
                <w:sz w:val="28"/>
                <w:szCs w:val="28"/>
                <w:lang w:eastAsia="zh-CN"/>
              </w:rPr>
              <w:t>的</w:t>
            </w:r>
            <w:r>
              <w:rPr>
                <w:rFonts w:hint="eastAsia" w:ascii="仿宋" w:hAnsi="仿宋" w:eastAsia="仿宋" w:cs="仿宋"/>
                <w:sz w:val="28"/>
                <w:szCs w:val="28"/>
              </w:rPr>
              <w:t>技术证书。</w:t>
            </w:r>
          </w:p>
        </w:tc>
      </w:tr>
      <w:tr w14:paraId="472A9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restart"/>
          </w:tcPr>
          <w:p w14:paraId="41B4AFEB">
            <w:pPr>
              <w:spacing w:line="360" w:lineRule="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10</w:t>
            </w:r>
          </w:p>
        </w:tc>
        <w:tc>
          <w:tcPr>
            <w:tcW w:w="1339" w:type="dxa"/>
            <w:vMerge w:val="restart"/>
          </w:tcPr>
          <w:p w14:paraId="48C08F2C">
            <w:pPr>
              <w:spacing w:line="360" w:lineRule="auto"/>
              <w:rPr>
                <w:rFonts w:hint="eastAsia" w:ascii="仿宋" w:hAnsi="仿宋" w:eastAsia="仿宋" w:cs="仿宋"/>
                <w:color w:val="000000"/>
                <w:kern w:val="0"/>
                <w:sz w:val="28"/>
                <w:szCs w:val="28"/>
              </w:rPr>
            </w:pPr>
            <w:r>
              <w:rPr>
                <w:rFonts w:hint="eastAsia" w:ascii="仿宋" w:hAnsi="仿宋" w:eastAsia="仿宋" w:cs="仿宋"/>
                <w:sz w:val="28"/>
                <w:szCs w:val="28"/>
              </w:rPr>
              <w:t>IT运维管理服务</w:t>
            </w:r>
          </w:p>
        </w:tc>
        <w:tc>
          <w:tcPr>
            <w:tcW w:w="6133" w:type="dxa"/>
            <w:vAlign w:val="center"/>
          </w:tcPr>
          <w:p w14:paraId="7520C1E0">
            <w:pPr>
              <w:spacing w:line="360" w:lineRule="auto"/>
              <w:rPr>
                <w:rFonts w:hint="eastAsia" w:ascii="仿宋" w:hAnsi="仿宋" w:eastAsia="仿宋" w:cs="仿宋"/>
                <w:color w:val="000000"/>
                <w:kern w:val="0"/>
                <w:sz w:val="28"/>
                <w:szCs w:val="28"/>
              </w:rPr>
            </w:pPr>
            <w:r>
              <w:rPr>
                <w:rFonts w:hint="eastAsia" w:ascii="仿宋" w:hAnsi="仿宋" w:eastAsia="仿宋" w:cs="仿宋"/>
                <w:sz w:val="28"/>
                <w:szCs w:val="28"/>
              </w:rPr>
              <w:t>10.1、为优化服务流程，有效管控服务过程，具有持续改进管理措施，为院方免费提供一套IT运维服务管理系统，实现IT服务的全流程管理和服务质量保障，提供基于ITIL管理标准的IT运维服务。</w:t>
            </w:r>
          </w:p>
        </w:tc>
      </w:tr>
      <w:tr w14:paraId="400B3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tcPr>
          <w:p w14:paraId="400EC815">
            <w:pPr>
              <w:spacing w:line="360" w:lineRule="auto"/>
              <w:rPr>
                <w:rFonts w:hint="eastAsia" w:ascii="仿宋" w:hAnsi="仿宋" w:eastAsia="仿宋" w:cs="仿宋"/>
                <w:color w:val="000000"/>
                <w:kern w:val="0"/>
                <w:sz w:val="28"/>
                <w:szCs w:val="28"/>
              </w:rPr>
            </w:pPr>
          </w:p>
        </w:tc>
        <w:tc>
          <w:tcPr>
            <w:tcW w:w="1339" w:type="dxa"/>
            <w:vMerge w:val="continue"/>
          </w:tcPr>
          <w:p w14:paraId="2390310C">
            <w:pPr>
              <w:spacing w:line="360" w:lineRule="auto"/>
              <w:rPr>
                <w:rFonts w:hint="eastAsia" w:ascii="仿宋" w:hAnsi="仿宋" w:eastAsia="仿宋" w:cs="仿宋"/>
                <w:color w:val="000000"/>
                <w:kern w:val="0"/>
                <w:sz w:val="28"/>
                <w:szCs w:val="28"/>
              </w:rPr>
            </w:pPr>
          </w:p>
        </w:tc>
        <w:tc>
          <w:tcPr>
            <w:tcW w:w="6133" w:type="dxa"/>
            <w:vAlign w:val="center"/>
          </w:tcPr>
          <w:p w14:paraId="1D8FD899">
            <w:pPr>
              <w:spacing w:line="360" w:lineRule="auto"/>
              <w:rPr>
                <w:rFonts w:hint="eastAsia" w:ascii="仿宋" w:hAnsi="仿宋" w:eastAsia="仿宋" w:cs="仿宋"/>
                <w:color w:val="000000"/>
                <w:kern w:val="0"/>
                <w:sz w:val="28"/>
                <w:szCs w:val="28"/>
              </w:rPr>
            </w:pPr>
            <w:r>
              <w:rPr>
                <w:rFonts w:hint="eastAsia" w:ascii="仿宋" w:hAnsi="仿宋" w:eastAsia="仿宋" w:cs="仿宋"/>
                <w:sz w:val="28"/>
                <w:szCs w:val="28"/>
              </w:rPr>
              <w:t>10.2、提供成熟的正版软件，拥有自主知识产权或所有权</w:t>
            </w:r>
            <w:r>
              <w:rPr>
                <w:rFonts w:hint="eastAsia" w:ascii="仿宋" w:hAnsi="仿宋" w:eastAsia="仿宋" w:cs="仿宋"/>
                <w:sz w:val="28"/>
                <w:szCs w:val="28"/>
                <w:lang w:eastAsia="zh-CN"/>
              </w:rPr>
              <w:t>的</w:t>
            </w:r>
            <w:r>
              <w:rPr>
                <w:rFonts w:hint="eastAsia" w:ascii="仿宋" w:hAnsi="仿宋" w:eastAsia="仿宋" w:cs="仿宋"/>
                <w:sz w:val="28"/>
                <w:szCs w:val="28"/>
              </w:rPr>
              <w:t>IT运维服务管理软件。</w:t>
            </w:r>
          </w:p>
        </w:tc>
      </w:tr>
      <w:tr w14:paraId="6FE40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tcPr>
          <w:p w14:paraId="57F86ABA">
            <w:pPr>
              <w:spacing w:line="360" w:lineRule="auto"/>
              <w:rPr>
                <w:rFonts w:hint="eastAsia" w:ascii="仿宋" w:hAnsi="仿宋" w:eastAsia="仿宋" w:cs="仿宋"/>
                <w:color w:val="000000"/>
                <w:kern w:val="0"/>
                <w:sz w:val="28"/>
                <w:szCs w:val="28"/>
              </w:rPr>
            </w:pPr>
          </w:p>
        </w:tc>
        <w:tc>
          <w:tcPr>
            <w:tcW w:w="1339" w:type="dxa"/>
            <w:vMerge w:val="continue"/>
          </w:tcPr>
          <w:p w14:paraId="25D670B6">
            <w:pPr>
              <w:spacing w:line="360" w:lineRule="auto"/>
              <w:rPr>
                <w:rFonts w:hint="eastAsia" w:ascii="仿宋" w:hAnsi="仿宋" w:eastAsia="仿宋" w:cs="仿宋"/>
                <w:color w:val="000000"/>
                <w:kern w:val="0"/>
                <w:sz w:val="28"/>
                <w:szCs w:val="28"/>
              </w:rPr>
            </w:pPr>
          </w:p>
        </w:tc>
        <w:tc>
          <w:tcPr>
            <w:tcW w:w="6133" w:type="dxa"/>
            <w:vAlign w:val="center"/>
          </w:tcPr>
          <w:p w14:paraId="30F20A0F">
            <w:pPr>
              <w:spacing w:line="360" w:lineRule="auto"/>
              <w:rPr>
                <w:rFonts w:hint="eastAsia" w:ascii="仿宋" w:hAnsi="仿宋" w:eastAsia="仿宋" w:cs="仿宋"/>
                <w:color w:val="000000"/>
                <w:kern w:val="0"/>
                <w:sz w:val="28"/>
                <w:szCs w:val="28"/>
              </w:rPr>
            </w:pPr>
            <w:r>
              <w:rPr>
                <w:rFonts w:hint="eastAsia" w:ascii="仿宋" w:hAnsi="仿宋" w:eastAsia="仿宋" w:cs="仿宋"/>
                <w:sz w:val="28"/>
                <w:szCs w:val="28"/>
              </w:rPr>
              <w:t>10.3、提供具备医疗行业的部署案例</w:t>
            </w:r>
            <w:r>
              <w:rPr>
                <w:rFonts w:hint="eastAsia" w:ascii="仿宋" w:hAnsi="仿宋" w:eastAsia="仿宋" w:cs="仿宋"/>
                <w:sz w:val="28"/>
                <w:szCs w:val="28"/>
                <w:lang w:eastAsia="zh-CN"/>
              </w:rPr>
              <w:t>的</w:t>
            </w:r>
            <w:r>
              <w:rPr>
                <w:rFonts w:hint="eastAsia" w:ascii="仿宋" w:hAnsi="仿宋" w:eastAsia="仿宋" w:cs="仿宋"/>
                <w:sz w:val="28"/>
                <w:szCs w:val="28"/>
              </w:rPr>
              <w:t>IT运维服务管理软件。</w:t>
            </w:r>
          </w:p>
        </w:tc>
      </w:tr>
      <w:tr w14:paraId="693D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tcPr>
          <w:p w14:paraId="3EF39F67">
            <w:pPr>
              <w:spacing w:line="360" w:lineRule="auto"/>
              <w:rPr>
                <w:rFonts w:hint="eastAsia" w:ascii="仿宋" w:hAnsi="仿宋" w:eastAsia="仿宋" w:cs="仿宋"/>
                <w:color w:val="000000"/>
                <w:kern w:val="0"/>
                <w:sz w:val="28"/>
                <w:szCs w:val="28"/>
              </w:rPr>
            </w:pPr>
          </w:p>
        </w:tc>
        <w:tc>
          <w:tcPr>
            <w:tcW w:w="1339" w:type="dxa"/>
            <w:vMerge w:val="continue"/>
          </w:tcPr>
          <w:p w14:paraId="6FFD6A17">
            <w:pPr>
              <w:spacing w:line="360" w:lineRule="auto"/>
              <w:rPr>
                <w:rFonts w:hint="eastAsia" w:ascii="仿宋" w:hAnsi="仿宋" w:eastAsia="仿宋" w:cs="仿宋"/>
                <w:color w:val="000000"/>
                <w:kern w:val="0"/>
                <w:sz w:val="28"/>
                <w:szCs w:val="28"/>
              </w:rPr>
            </w:pPr>
          </w:p>
        </w:tc>
        <w:tc>
          <w:tcPr>
            <w:tcW w:w="6133" w:type="dxa"/>
            <w:vAlign w:val="center"/>
          </w:tcPr>
          <w:p w14:paraId="335024AF">
            <w:pPr>
              <w:spacing w:line="360" w:lineRule="auto"/>
              <w:rPr>
                <w:rFonts w:hint="eastAsia" w:ascii="仿宋" w:hAnsi="仿宋" w:eastAsia="仿宋" w:cs="仿宋"/>
                <w:color w:val="000000"/>
                <w:kern w:val="0"/>
                <w:sz w:val="28"/>
                <w:szCs w:val="28"/>
              </w:rPr>
            </w:pPr>
            <w:r>
              <w:rPr>
                <w:rFonts w:hint="eastAsia" w:ascii="仿宋" w:hAnsi="仿宋" w:eastAsia="仿宋" w:cs="仿宋"/>
                <w:sz w:val="28"/>
                <w:szCs w:val="28"/>
              </w:rPr>
              <w:t>10.4、在日常设备维护</w:t>
            </w:r>
            <w:r>
              <w:rPr>
                <w:rFonts w:hint="eastAsia" w:ascii="仿宋" w:hAnsi="仿宋" w:eastAsia="仿宋" w:cs="仿宋"/>
                <w:sz w:val="28"/>
                <w:szCs w:val="28"/>
                <w:lang w:val="en-US" w:eastAsia="zh-CN"/>
              </w:rPr>
              <w:t>提供</w:t>
            </w:r>
            <w:r>
              <w:rPr>
                <w:rFonts w:hint="eastAsia" w:ascii="仿宋" w:hAnsi="仿宋" w:eastAsia="仿宋" w:cs="仿宋"/>
                <w:sz w:val="28"/>
                <w:szCs w:val="28"/>
              </w:rPr>
              <w:t>符合ITIL</w:t>
            </w:r>
            <w:r>
              <w:rPr>
                <w:rFonts w:hint="eastAsia" w:ascii="仿宋" w:hAnsi="仿宋" w:eastAsia="仿宋" w:cs="仿宋"/>
                <w:sz w:val="28"/>
                <w:szCs w:val="28"/>
                <w:lang w:eastAsia="zh-CN"/>
              </w:rPr>
              <w:t>的</w:t>
            </w:r>
            <w:r>
              <w:rPr>
                <w:rFonts w:hint="eastAsia" w:ascii="仿宋" w:hAnsi="仿宋" w:eastAsia="仿宋" w:cs="仿宋"/>
                <w:sz w:val="28"/>
                <w:szCs w:val="28"/>
              </w:rPr>
              <w:t>服务标准和规范，</w:t>
            </w:r>
            <w:r>
              <w:rPr>
                <w:rFonts w:hint="eastAsia" w:ascii="仿宋" w:hAnsi="仿宋" w:eastAsia="仿宋" w:cs="仿宋"/>
                <w:sz w:val="28"/>
                <w:szCs w:val="28"/>
                <w:lang w:val="en-US" w:eastAsia="zh-CN"/>
              </w:rPr>
              <w:t>做到</w:t>
            </w:r>
            <w:r>
              <w:rPr>
                <w:rFonts w:hint="eastAsia" w:ascii="仿宋" w:hAnsi="仿宋" w:eastAsia="仿宋" w:cs="仿宋"/>
                <w:sz w:val="28"/>
                <w:szCs w:val="28"/>
              </w:rPr>
              <w:t>服务有记录、过程可追溯、处理有结果。维护、更换、人员出勤有详细记录，按时提交巡检记录和运维报告，发现问题及时整改。</w:t>
            </w:r>
          </w:p>
        </w:tc>
      </w:tr>
      <w:tr w14:paraId="7277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tcPr>
          <w:p w14:paraId="05C9A9BF">
            <w:pPr>
              <w:spacing w:line="360" w:lineRule="auto"/>
              <w:rPr>
                <w:rFonts w:hint="eastAsia" w:ascii="仿宋" w:hAnsi="仿宋" w:eastAsia="仿宋" w:cs="仿宋"/>
                <w:color w:val="000000"/>
                <w:kern w:val="0"/>
                <w:sz w:val="28"/>
                <w:szCs w:val="28"/>
              </w:rPr>
            </w:pPr>
          </w:p>
        </w:tc>
        <w:tc>
          <w:tcPr>
            <w:tcW w:w="1339" w:type="dxa"/>
            <w:vMerge w:val="continue"/>
          </w:tcPr>
          <w:p w14:paraId="38171A97">
            <w:pPr>
              <w:spacing w:line="360" w:lineRule="auto"/>
              <w:rPr>
                <w:rFonts w:hint="eastAsia" w:ascii="仿宋" w:hAnsi="仿宋" w:eastAsia="仿宋" w:cs="仿宋"/>
                <w:color w:val="000000"/>
                <w:kern w:val="0"/>
                <w:sz w:val="28"/>
                <w:szCs w:val="28"/>
              </w:rPr>
            </w:pPr>
          </w:p>
        </w:tc>
        <w:tc>
          <w:tcPr>
            <w:tcW w:w="6133" w:type="dxa"/>
            <w:vAlign w:val="center"/>
          </w:tcPr>
          <w:p w14:paraId="366C8ECF">
            <w:pPr>
              <w:spacing w:line="360" w:lineRule="auto"/>
              <w:rPr>
                <w:rFonts w:hint="eastAsia" w:ascii="仿宋" w:hAnsi="仿宋" w:eastAsia="仿宋" w:cs="仿宋"/>
                <w:color w:val="000000"/>
                <w:kern w:val="0"/>
                <w:sz w:val="28"/>
                <w:szCs w:val="28"/>
              </w:rPr>
            </w:pPr>
            <w:r>
              <w:rPr>
                <w:rFonts w:hint="eastAsia" w:ascii="仿宋" w:hAnsi="仿宋" w:eastAsia="仿宋" w:cs="仿宋"/>
                <w:sz w:val="28"/>
                <w:szCs w:val="28"/>
              </w:rPr>
              <w:t>10.5、文档管理及服务记录：严格将文档管理贯穿于整个项目全过程中。文档提交及文档质量作为院方考核的重要依据。按时提交巡检报告、运维报告，发现问题及时整改。</w:t>
            </w:r>
          </w:p>
        </w:tc>
      </w:tr>
      <w:tr w14:paraId="52655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tcPr>
          <w:p w14:paraId="4A0D2BF0">
            <w:pPr>
              <w:spacing w:line="360" w:lineRule="auto"/>
              <w:rPr>
                <w:rFonts w:hint="eastAsia" w:ascii="仿宋" w:hAnsi="仿宋" w:eastAsia="仿宋" w:cs="仿宋"/>
                <w:color w:val="000000"/>
                <w:kern w:val="0"/>
                <w:sz w:val="28"/>
                <w:szCs w:val="28"/>
              </w:rPr>
            </w:pPr>
          </w:p>
        </w:tc>
        <w:tc>
          <w:tcPr>
            <w:tcW w:w="1339" w:type="dxa"/>
            <w:vMerge w:val="continue"/>
          </w:tcPr>
          <w:p w14:paraId="4A57F0F7">
            <w:pPr>
              <w:spacing w:line="360" w:lineRule="auto"/>
              <w:rPr>
                <w:rFonts w:hint="eastAsia" w:ascii="仿宋" w:hAnsi="仿宋" w:eastAsia="仿宋" w:cs="仿宋"/>
                <w:color w:val="000000"/>
                <w:kern w:val="0"/>
                <w:sz w:val="28"/>
                <w:szCs w:val="28"/>
              </w:rPr>
            </w:pPr>
          </w:p>
        </w:tc>
        <w:tc>
          <w:tcPr>
            <w:tcW w:w="6133" w:type="dxa"/>
            <w:vAlign w:val="center"/>
          </w:tcPr>
          <w:p w14:paraId="0B97A45E">
            <w:pPr>
              <w:spacing w:line="360" w:lineRule="auto"/>
              <w:rPr>
                <w:rFonts w:hint="eastAsia" w:ascii="仿宋" w:hAnsi="仿宋" w:eastAsia="仿宋" w:cs="仿宋"/>
                <w:color w:val="000000"/>
                <w:kern w:val="0"/>
                <w:sz w:val="28"/>
                <w:szCs w:val="28"/>
              </w:rPr>
            </w:pPr>
            <w:r>
              <w:rPr>
                <w:rFonts w:hint="eastAsia" w:ascii="仿宋" w:hAnsi="仿宋" w:eastAsia="仿宋" w:cs="仿宋"/>
                <w:sz w:val="28"/>
                <w:szCs w:val="28"/>
              </w:rPr>
              <w:t>10.6、定期对驻场服务人员进行与本项目维护内容相关的培训，包括项目运行维护工作流程、响应、技能及应急服务培训等，不断提升驻场人员综合能力。</w:t>
            </w:r>
          </w:p>
        </w:tc>
      </w:tr>
      <w:tr w14:paraId="6F9FB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tcPr>
          <w:p w14:paraId="318686B6">
            <w:pPr>
              <w:spacing w:line="360" w:lineRule="auto"/>
              <w:rPr>
                <w:rFonts w:hint="eastAsia" w:ascii="仿宋" w:hAnsi="仿宋" w:eastAsia="仿宋" w:cs="仿宋"/>
                <w:color w:val="000000"/>
                <w:kern w:val="0"/>
                <w:sz w:val="28"/>
                <w:szCs w:val="28"/>
              </w:rPr>
            </w:pPr>
          </w:p>
        </w:tc>
        <w:tc>
          <w:tcPr>
            <w:tcW w:w="1339" w:type="dxa"/>
            <w:vMerge w:val="continue"/>
          </w:tcPr>
          <w:p w14:paraId="0096CFE3">
            <w:pPr>
              <w:spacing w:line="360" w:lineRule="auto"/>
              <w:rPr>
                <w:rFonts w:hint="eastAsia" w:ascii="仿宋" w:hAnsi="仿宋" w:eastAsia="仿宋" w:cs="仿宋"/>
                <w:color w:val="000000"/>
                <w:kern w:val="0"/>
                <w:sz w:val="28"/>
                <w:szCs w:val="28"/>
              </w:rPr>
            </w:pPr>
          </w:p>
        </w:tc>
        <w:tc>
          <w:tcPr>
            <w:tcW w:w="6133" w:type="dxa"/>
            <w:vAlign w:val="center"/>
          </w:tcPr>
          <w:p w14:paraId="5450CC11">
            <w:pPr>
              <w:spacing w:line="360" w:lineRule="auto"/>
              <w:rPr>
                <w:rFonts w:hint="eastAsia" w:ascii="仿宋" w:hAnsi="仿宋" w:eastAsia="仿宋" w:cs="仿宋"/>
                <w:color w:val="000000"/>
                <w:kern w:val="0"/>
                <w:sz w:val="28"/>
                <w:szCs w:val="28"/>
              </w:rPr>
            </w:pPr>
            <w:r>
              <w:rPr>
                <w:rFonts w:hint="eastAsia" w:ascii="仿宋" w:hAnsi="仿宋" w:eastAsia="仿宋" w:cs="仿宋"/>
                <w:sz w:val="28"/>
                <w:szCs w:val="28"/>
              </w:rPr>
              <w:t>10.7、</w:t>
            </w:r>
            <w:r>
              <w:rPr>
                <w:rFonts w:hint="eastAsia" w:ascii="仿宋" w:hAnsi="仿宋" w:eastAsia="仿宋" w:cs="仿宋"/>
                <w:sz w:val="28"/>
                <w:szCs w:val="28"/>
                <w:lang w:val="en-US" w:eastAsia="zh-CN"/>
              </w:rPr>
              <w:t>提供</w:t>
            </w:r>
            <w:r>
              <w:rPr>
                <w:rFonts w:hint="eastAsia" w:ascii="仿宋" w:hAnsi="仿宋" w:eastAsia="仿宋" w:cs="仿宋"/>
                <w:sz w:val="28"/>
                <w:szCs w:val="28"/>
              </w:rPr>
              <w:t>完善的人员及服务监管机制，监管人员不定期对现场驻点情况进行巡查和工作指导，监管人员具有信息系统监理师资格证书或质量管理工程师资格证书。</w:t>
            </w:r>
          </w:p>
        </w:tc>
      </w:tr>
      <w:tr w14:paraId="33F1A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tcPr>
          <w:p w14:paraId="3EBADE57">
            <w:pPr>
              <w:spacing w:line="360" w:lineRule="auto"/>
              <w:rPr>
                <w:rFonts w:hint="eastAsia" w:ascii="仿宋" w:hAnsi="仿宋" w:eastAsia="仿宋" w:cs="仿宋"/>
                <w:color w:val="000000"/>
                <w:kern w:val="0"/>
                <w:sz w:val="28"/>
                <w:szCs w:val="28"/>
              </w:rPr>
            </w:pPr>
          </w:p>
        </w:tc>
        <w:tc>
          <w:tcPr>
            <w:tcW w:w="1339" w:type="dxa"/>
            <w:vMerge w:val="continue"/>
          </w:tcPr>
          <w:p w14:paraId="46F4E4EF">
            <w:pPr>
              <w:spacing w:line="360" w:lineRule="auto"/>
              <w:rPr>
                <w:rFonts w:hint="eastAsia" w:ascii="仿宋" w:hAnsi="仿宋" w:eastAsia="仿宋" w:cs="仿宋"/>
                <w:color w:val="000000"/>
                <w:kern w:val="0"/>
                <w:sz w:val="28"/>
                <w:szCs w:val="28"/>
              </w:rPr>
            </w:pPr>
          </w:p>
        </w:tc>
        <w:tc>
          <w:tcPr>
            <w:tcW w:w="6133" w:type="dxa"/>
            <w:vAlign w:val="center"/>
          </w:tcPr>
          <w:p w14:paraId="378776AC">
            <w:pPr>
              <w:spacing w:line="360" w:lineRule="auto"/>
              <w:rPr>
                <w:rFonts w:hint="eastAsia" w:ascii="仿宋" w:hAnsi="仿宋" w:eastAsia="仿宋" w:cs="仿宋"/>
                <w:color w:val="000000"/>
                <w:kern w:val="0"/>
                <w:sz w:val="28"/>
                <w:szCs w:val="28"/>
              </w:rPr>
            </w:pPr>
            <w:r>
              <w:rPr>
                <w:rFonts w:hint="eastAsia" w:ascii="仿宋" w:hAnsi="仿宋" w:eastAsia="仿宋" w:cs="仿宋"/>
                <w:sz w:val="28"/>
                <w:szCs w:val="28"/>
              </w:rPr>
              <w:t>10.8、</w:t>
            </w:r>
            <w:r>
              <w:rPr>
                <w:rFonts w:hint="eastAsia" w:ascii="仿宋" w:hAnsi="仿宋" w:eastAsia="仿宋" w:cs="仿宋"/>
                <w:sz w:val="28"/>
                <w:szCs w:val="28"/>
                <w:lang w:val="en-US" w:eastAsia="zh-CN"/>
              </w:rPr>
              <w:t>提供</w:t>
            </w:r>
            <w:r>
              <w:rPr>
                <w:rFonts w:hint="eastAsia" w:ascii="仿宋" w:hAnsi="仿宋" w:eastAsia="仿宋" w:cs="仿宋"/>
                <w:sz w:val="28"/>
                <w:szCs w:val="28"/>
              </w:rPr>
              <w:t>1名ISO9001:2008质量管理系统内部审核员对流程和文档进行辅助管理，所有的服务记录和文档，均严格按照ISO9000质量标准执行。</w:t>
            </w:r>
          </w:p>
        </w:tc>
      </w:tr>
      <w:tr w14:paraId="17005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49" w:type="dxa"/>
            <w:vMerge w:val="restart"/>
          </w:tcPr>
          <w:p w14:paraId="7FC4D85F">
            <w:pPr>
              <w:spacing w:line="360" w:lineRule="auto"/>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11</w:t>
            </w:r>
          </w:p>
        </w:tc>
        <w:tc>
          <w:tcPr>
            <w:tcW w:w="1339" w:type="dxa"/>
            <w:vMerge w:val="restart"/>
          </w:tcPr>
          <w:p w14:paraId="4C2ECE69">
            <w:pPr>
              <w:spacing w:line="360" w:lineRule="auto"/>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机房巡检服务</w:t>
            </w:r>
          </w:p>
        </w:tc>
        <w:tc>
          <w:tcPr>
            <w:tcW w:w="6133" w:type="dxa"/>
            <w:vAlign w:val="center"/>
          </w:tcPr>
          <w:p w14:paraId="0D71FC67">
            <w:pPr>
              <w:spacing w:line="360" w:lineRule="auto"/>
              <w:rPr>
                <w:rFonts w:hint="eastAsia" w:ascii="仿宋" w:hAnsi="仿宋" w:eastAsia="仿宋" w:cs="仿宋"/>
                <w:sz w:val="28"/>
                <w:szCs w:val="28"/>
              </w:rPr>
            </w:pPr>
            <w:r>
              <w:rPr>
                <w:rFonts w:hint="eastAsia" w:ascii="仿宋" w:hAnsi="仿宋" w:eastAsia="仿宋" w:cs="仿宋"/>
                <w:sz w:val="28"/>
                <w:szCs w:val="28"/>
              </w:rPr>
              <w:t>服务范围： 各楼层弱电间、末端设备机房。</w:t>
            </w:r>
          </w:p>
        </w:tc>
      </w:tr>
      <w:tr w14:paraId="471FF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049" w:type="dxa"/>
            <w:vMerge w:val="continue"/>
          </w:tcPr>
          <w:p w14:paraId="065B05E8">
            <w:pPr>
              <w:spacing w:line="360" w:lineRule="auto"/>
              <w:rPr>
                <w:rFonts w:hint="eastAsia" w:ascii="仿宋" w:hAnsi="仿宋" w:eastAsia="仿宋" w:cs="仿宋"/>
                <w:color w:val="000000"/>
                <w:kern w:val="0"/>
                <w:sz w:val="28"/>
                <w:szCs w:val="28"/>
                <w:lang w:val="en-US" w:eastAsia="zh-CN"/>
              </w:rPr>
            </w:pPr>
          </w:p>
        </w:tc>
        <w:tc>
          <w:tcPr>
            <w:tcW w:w="1339" w:type="dxa"/>
            <w:vMerge w:val="continue"/>
          </w:tcPr>
          <w:p w14:paraId="66C7DDD9">
            <w:pPr>
              <w:spacing w:line="360" w:lineRule="auto"/>
              <w:rPr>
                <w:rFonts w:hint="eastAsia" w:ascii="仿宋" w:hAnsi="仿宋" w:eastAsia="仿宋" w:cs="仿宋"/>
                <w:color w:val="000000"/>
                <w:kern w:val="0"/>
                <w:sz w:val="28"/>
                <w:szCs w:val="28"/>
                <w:lang w:val="en-US" w:eastAsia="zh-CN"/>
              </w:rPr>
            </w:pPr>
          </w:p>
        </w:tc>
        <w:tc>
          <w:tcPr>
            <w:tcW w:w="6133" w:type="dxa"/>
            <w:vAlign w:val="center"/>
          </w:tcPr>
          <w:p w14:paraId="0172A55C">
            <w:pPr>
              <w:spacing w:line="360" w:lineRule="auto"/>
              <w:rPr>
                <w:rFonts w:hint="eastAsia" w:ascii="仿宋" w:hAnsi="仿宋" w:eastAsia="仿宋" w:cs="仿宋"/>
                <w:sz w:val="28"/>
                <w:szCs w:val="28"/>
              </w:rPr>
            </w:pPr>
            <w:r>
              <w:rPr>
                <w:rFonts w:hint="eastAsia" w:ascii="仿宋" w:hAnsi="仿宋" w:eastAsia="仿宋" w:cs="仿宋"/>
                <w:sz w:val="28"/>
                <w:szCs w:val="28"/>
              </w:rPr>
              <w:t>服务内容：</w:t>
            </w:r>
          </w:p>
          <w:p w14:paraId="2F78B8FE">
            <w:pPr>
              <w:spacing w:line="360" w:lineRule="auto"/>
              <w:rPr>
                <w:rFonts w:hint="eastAsia" w:ascii="仿宋" w:hAnsi="仿宋" w:eastAsia="仿宋" w:cs="仿宋"/>
                <w:sz w:val="28"/>
                <w:szCs w:val="28"/>
              </w:rPr>
            </w:pPr>
            <w:r>
              <w:rPr>
                <w:rFonts w:hint="eastAsia" w:ascii="仿宋" w:hAnsi="仿宋" w:eastAsia="仿宋" w:cs="仿宋"/>
                <w:sz w:val="28"/>
                <w:szCs w:val="28"/>
              </w:rPr>
              <w:t>每日进行远程监控和每周现场巡检。</w:t>
            </w:r>
          </w:p>
          <w:p w14:paraId="6FB7026F">
            <w:pPr>
              <w:spacing w:line="360" w:lineRule="auto"/>
              <w:rPr>
                <w:rFonts w:hint="eastAsia" w:ascii="仿宋" w:hAnsi="仿宋" w:eastAsia="仿宋" w:cs="仿宋"/>
                <w:sz w:val="28"/>
                <w:szCs w:val="28"/>
              </w:rPr>
            </w:pPr>
            <w:r>
              <w:rPr>
                <w:rFonts w:hint="eastAsia" w:ascii="仿宋" w:hAnsi="仿宋" w:eastAsia="仿宋" w:cs="仿宋"/>
                <w:sz w:val="28"/>
                <w:szCs w:val="28"/>
              </w:rPr>
              <w:t>检查机房环境，包括温湿度、清洁状况、消防设施。</w:t>
            </w:r>
          </w:p>
          <w:p w14:paraId="686C0802">
            <w:pPr>
              <w:spacing w:line="360" w:lineRule="auto"/>
              <w:rPr>
                <w:rFonts w:hint="eastAsia" w:ascii="仿宋" w:hAnsi="仿宋" w:eastAsia="仿宋" w:cs="仿宋"/>
                <w:sz w:val="28"/>
                <w:szCs w:val="28"/>
              </w:rPr>
            </w:pPr>
            <w:r>
              <w:rPr>
                <w:rFonts w:hint="eastAsia" w:ascii="仿宋" w:hAnsi="仿宋" w:eastAsia="仿宋" w:cs="仿宋"/>
                <w:sz w:val="28"/>
                <w:szCs w:val="28"/>
              </w:rPr>
              <w:t>检查网络交换机、配线架等设备的指示灯状态和运行情况。</w:t>
            </w:r>
          </w:p>
          <w:p w14:paraId="40D2D486">
            <w:pPr>
              <w:spacing w:line="360" w:lineRule="auto"/>
              <w:rPr>
                <w:rFonts w:hint="eastAsia" w:ascii="仿宋" w:hAnsi="仿宋" w:eastAsia="仿宋" w:cs="仿宋"/>
                <w:sz w:val="28"/>
                <w:szCs w:val="28"/>
              </w:rPr>
            </w:pPr>
            <w:r>
              <w:rPr>
                <w:rFonts w:hint="eastAsia" w:ascii="仿宋" w:hAnsi="仿宋" w:eastAsia="仿宋" w:cs="仿宋"/>
                <w:sz w:val="28"/>
                <w:szCs w:val="28"/>
              </w:rPr>
              <w:t>发现异常（如设备宕机、环境过热）立即报警并协助处理。</w:t>
            </w:r>
          </w:p>
        </w:tc>
      </w:tr>
    </w:tbl>
    <w:p w14:paraId="5B05B340">
      <w:pPr>
        <w:rPr>
          <w:rFonts w:hint="eastAsia"/>
        </w:rPr>
      </w:pPr>
      <w:r>
        <w:rPr>
          <w:rFonts w:hint="eastAsia"/>
        </w:rPr>
        <w:br w:type="page"/>
      </w:r>
    </w:p>
    <w:p w14:paraId="038A825E">
      <w:pPr>
        <w:pStyle w:val="4"/>
        <w:numPr>
          <w:ilvl w:val="0"/>
          <w:numId w:val="2"/>
        </w:numPr>
        <w:bidi w:val="0"/>
        <w:rPr>
          <w:rFonts w:hint="eastAsia" w:ascii="宋体" w:hAnsi="宋体" w:eastAsia="宋体"/>
        </w:rPr>
      </w:pPr>
      <w:r>
        <w:rPr>
          <w:rFonts w:hint="eastAsia" w:eastAsia="宋体"/>
        </w:rPr>
        <w:t>项目预算说明</w:t>
      </w:r>
    </w:p>
    <w:p w14:paraId="7A6173A3">
      <w:pPr>
        <w:spacing w:line="360" w:lineRule="auto"/>
        <w:ind w:firstLine="560" w:firstLineChars="200"/>
        <w:rPr>
          <w:rFonts w:hint="eastAsia" w:ascii="宋体" w:hAnsi="宋体" w:eastAsia="宋体"/>
        </w:rPr>
      </w:pPr>
      <w:r>
        <w:rPr>
          <w:rFonts w:hint="eastAsia" w:ascii="宋体" w:hAnsi="宋体" w:eastAsia="宋体"/>
        </w:rPr>
        <w:t>根据建设内容给出项目申请预算表或给出市场询价报告(不限于其他医院类似项目的合同价，相关网站类似项目中标价或咨询相关厂家报价)。</w:t>
      </w:r>
    </w:p>
    <w:p w14:paraId="69A3F834">
      <w:pPr>
        <w:pStyle w:val="2"/>
        <w:ind w:left="0" w:leftChars="0" w:firstLine="0" w:firstLineChars="0"/>
        <w:rPr>
          <w:rFonts w:hint="eastAsia"/>
          <w:lang w:val="en-US" w:eastAsia="zh-CN"/>
        </w:rPr>
      </w:pPr>
    </w:p>
    <w:p w14:paraId="286BC641">
      <w:pPr>
        <w:spacing w:line="360" w:lineRule="auto"/>
        <w:rPr>
          <w:rFonts w:hint="eastAsia" w:ascii="仿宋" w:hAnsi="仿宋" w:eastAsia="仿宋" w:cs="仿宋"/>
          <w:lang w:eastAsia="zh-CN"/>
        </w:rPr>
      </w:pPr>
    </w:p>
    <w:sectPr>
      <w:pgSz w:w="11905" w:h="16837" w:orient="landscape"/>
      <w:pgMar w:top="1440" w:right="1800"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9664B2"/>
    <w:multiLevelType w:val="multilevel"/>
    <w:tmpl w:val="449664B2"/>
    <w:lvl w:ilvl="0" w:tentative="0">
      <w:start w:val="1"/>
      <w:numFmt w:val="chineseCountingThousand"/>
      <w:pStyle w:val="33"/>
      <w:suff w:val="space"/>
      <w:lvlText w:val="第%1章"/>
      <w:lvlJc w:val="left"/>
      <w:pPr>
        <w:ind w:left="0" w:firstLine="0"/>
      </w:pPr>
      <w:rPr>
        <w:rFonts w:hint="default" w:ascii="Times New Roman" w:hAnsi="Times New Roman" w:eastAsia="黑体"/>
        <w:b/>
        <w:i w:val="0"/>
        <w:sz w:val="32"/>
      </w:rPr>
    </w:lvl>
    <w:lvl w:ilvl="1" w:tentative="0">
      <w:start w:val="1"/>
      <w:numFmt w:val="decimal"/>
      <w:isLgl/>
      <w:suff w:val="space"/>
      <w:lvlText w:val="%1.%2"/>
      <w:lvlJc w:val="left"/>
      <w:pPr>
        <w:ind w:left="0" w:firstLine="0"/>
      </w:pPr>
      <w:rPr>
        <w:rFonts w:hint="default" w:ascii="Times New Roman" w:hAnsi="Times New Roman" w:cs="Times New Roman"/>
        <w:sz w:val="28"/>
      </w:rPr>
    </w:lvl>
    <w:lvl w:ilvl="2" w:tentative="0">
      <w:start w:val="1"/>
      <w:numFmt w:val="decimal"/>
      <w:isLgl/>
      <w:suff w:val="space"/>
      <w:lvlText w:val="%1.%2.%3"/>
      <w:lvlJc w:val="left"/>
      <w:pPr>
        <w:ind w:left="0" w:firstLine="0"/>
      </w:pPr>
      <w:rPr>
        <w:rFonts w:hint="default" w:ascii="Times New Roman" w:hAnsi="Times New Roman" w:eastAsia="黑体"/>
        <w:sz w:val="24"/>
      </w:rPr>
    </w:lvl>
    <w:lvl w:ilvl="3" w:tentative="0">
      <w:start w:val="1"/>
      <w:numFmt w:val="decimal"/>
      <w:isLgl/>
      <w:suff w:val="space"/>
      <w:lvlText w:val="%1.%2.%3.%4"/>
      <w:lvlJc w:val="left"/>
      <w:pPr>
        <w:ind w:left="0" w:firstLine="0"/>
      </w:pPr>
      <w:rPr>
        <w:rFonts w:hint="default" w:ascii="Times New Roman" w:hAnsi="Times New Roman" w:eastAsia="黑体"/>
        <w:sz w:val="24"/>
      </w:rPr>
    </w:lvl>
    <w:lvl w:ilvl="4" w:tentative="0">
      <w:start w:val="1"/>
      <w:numFmt w:val="decimal"/>
      <w:isLgl/>
      <w:suff w:val="space"/>
      <w:lvlText w:val="%1.%2.%3.%4.%5"/>
      <w:lvlJc w:val="left"/>
      <w:pPr>
        <w:ind w:left="0" w:firstLine="0"/>
      </w:pPr>
      <w:rPr>
        <w:rFonts w:hint="default" w:ascii="Times New Roman" w:hAnsi="Times New Roman" w:eastAsia="宋体"/>
        <w:b w:val="0"/>
        <w:i w:val="0"/>
        <w:sz w:val="24"/>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5EF36141"/>
    <w:multiLevelType w:val="multilevel"/>
    <w:tmpl w:val="5EF36141"/>
    <w:lvl w:ilvl="0" w:tentative="0">
      <w:start w:val="1"/>
      <w:numFmt w:val="chineseCountingThousand"/>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wNDgxN2MyZGQxMWZlOWEwNjNmNWY4NTkwMjg5NjgifQ=="/>
  </w:docVars>
  <w:rsids>
    <w:rsidRoot w:val="00D67FAC"/>
    <w:rsid w:val="00003119"/>
    <w:rsid w:val="00021E12"/>
    <w:rsid w:val="00046A21"/>
    <w:rsid w:val="000565A6"/>
    <w:rsid w:val="000918D8"/>
    <w:rsid w:val="0009294F"/>
    <w:rsid w:val="000D33F9"/>
    <w:rsid w:val="000D5EFD"/>
    <w:rsid w:val="000F2D3A"/>
    <w:rsid w:val="000F67EF"/>
    <w:rsid w:val="00102CF8"/>
    <w:rsid w:val="00122E11"/>
    <w:rsid w:val="001454C2"/>
    <w:rsid w:val="00164B03"/>
    <w:rsid w:val="00192D51"/>
    <w:rsid w:val="001A1B31"/>
    <w:rsid w:val="001A2B04"/>
    <w:rsid w:val="001A2FAB"/>
    <w:rsid w:val="001A30FF"/>
    <w:rsid w:val="001A3D94"/>
    <w:rsid w:val="001B4025"/>
    <w:rsid w:val="00201953"/>
    <w:rsid w:val="00201AC6"/>
    <w:rsid w:val="0022242C"/>
    <w:rsid w:val="002233BD"/>
    <w:rsid w:val="0022445E"/>
    <w:rsid w:val="00245AF8"/>
    <w:rsid w:val="00264B20"/>
    <w:rsid w:val="002714DB"/>
    <w:rsid w:val="0027199D"/>
    <w:rsid w:val="00271F48"/>
    <w:rsid w:val="00285FA4"/>
    <w:rsid w:val="002B2C33"/>
    <w:rsid w:val="002C6D6C"/>
    <w:rsid w:val="002E0BB1"/>
    <w:rsid w:val="002E18A3"/>
    <w:rsid w:val="002E2F50"/>
    <w:rsid w:val="002E6044"/>
    <w:rsid w:val="00350E52"/>
    <w:rsid w:val="003524F1"/>
    <w:rsid w:val="003578E6"/>
    <w:rsid w:val="00375A16"/>
    <w:rsid w:val="003930B0"/>
    <w:rsid w:val="003D53E2"/>
    <w:rsid w:val="003E032A"/>
    <w:rsid w:val="003F51B3"/>
    <w:rsid w:val="0041372B"/>
    <w:rsid w:val="00414654"/>
    <w:rsid w:val="00415B9A"/>
    <w:rsid w:val="004300D2"/>
    <w:rsid w:val="004346BA"/>
    <w:rsid w:val="00440F6B"/>
    <w:rsid w:val="00441FBC"/>
    <w:rsid w:val="00443998"/>
    <w:rsid w:val="0045183B"/>
    <w:rsid w:val="00453518"/>
    <w:rsid w:val="00457597"/>
    <w:rsid w:val="004612DE"/>
    <w:rsid w:val="004C3389"/>
    <w:rsid w:val="004E50F9"/>
    <w:rsid w:val="004F5CDC"/>
    <w:rsid w:val="00521F58"/>
    <w:rsid w:val="0052608C"/>
    <w:rsid w:val="005313F2"/>
    <w:rsid w:val="00573940"/>
    <w:rsid w:val="00576A94"/>
    <w:rsid w:val="00585497"/>
    <w:rsid w:val="00593D40"/>
    <w:rsid w:val="005961B3"/>
    <w:rsid w:val="005A6509"/>
    <w:rsid w:val="005B0A1E"/>
    <w:rsid w:val="005B790D"/>
    <w:rsid w:val="005C3252"/>
    <w:rsid w:val="005E5177"/>
    <w:rsid w:val="00612624"/>
    <w:rsid w:val="00613F88"/>
    <w:rsid w:val="0062252D"/>
    <w:rsid w:val="00625FDE"/>
    <w:rsid w:val="00634743"/>
    <w:rsid w:val="006426F1"/>
    <w:rsid w:val="00644919"/>
    <w:rsid w:val="00650FEE"/>
    <w:rsid w:val="00654F2C"/>
    <w:rsid w:val="00656060"/>
    <w:rsid w:val="00657569"/>
    <w:rsid w:val="00662DD1"/>
    <w:rsid w:val="006744F4"/>
    <w:rsid w:val="00693430"/>
    <w:rsid w:val="006C723D"/>
    <w:rsid w:val="006D4096"/>
    <w:rsid w:val="007068DC"/>
    <w:rsid w:val="007203E7"/>
    <w:rsid w:val="00731190"/>
    <w:rsid w:val="007354E1"/>
    <w:rsid w:val="00745220"/>
    <w:rsid w:val="00747424"/>
    <w:rsid w:val="007669A5"/>
    <w:rsid w:val="00774264"/>
    <w:rsid w:val="007946EE"/>
    <w:rsid w:val="007A731B"/>
    <w:rsid w:val="007B0268"/>
    <w:rsid w:val="007B428F"/>
    <w:rsid w:val="007C1B60"/>
    <w:rsid w:val="007E10C3"/>
    <w:rsid w:val="007F79DF"/>
    <w:rsid w:val="0080411A"/>
    <w:rsid w:val="008107BD"/>
    <w:rsid w:val="00814163"/>
    <w:rsid w:val="008203E2"/>
    <w:rsid w:val="00827D8A"/>
    <w:rsid w:val="00836E17"/>
    <w:rsid w:val="008402BD"/>
    <w:rsid w:val="0085137E"/>
    <w:rsid w:val="008647B0"/>
    <w:rsid w:val="008734FC"/>
    <w:rsid w:val="008767D1"/>
    <w:rsid w:val="008856B2"/>
    <w:rsid w:val="008A5BA3"/>
    <w:rsid w:val="008B27D9"/>
    <w:rsid w:val="008B43E7"/>
    <w:rsid w:val="008C788B"/>
    <w:rsid w:val="008D03B9"/>
    <w:rsid w:val="008F152D"/>
    <w:rsid w:val="008F7A0A"/>
    <w:rsid w:val="00913711"/>
    <w:rsid w:val="00953FF8"/>
    <w:rsid w:val="0095525E"/>
    <w:rsid w:val="00963E7D"/>
    <w:rsid w:val="00970F4F"/>
    <w:rsid w:val="0097796D"/>
    <w:rsid w:val="00992DBF"/>
    <w:rsid w:val="009965C7"/>
    <w:rsid w:val="009C6EE3"/>
    <w:rsid w:val="009D0E57"/>
    <w:rsid w:val="009E0DBB"/>
    <w:rsid w:val="009E408F"/>
    <w:rsid w:val="009F0664"/>
    <w:rsid w:val="00A11C02"/>
    <w:rsid w:val="00A201CF"/>
    <w:rsid w:val="00A31F00"/>
    <w:rsid w:val="00A34F5A"/>
    <w:rsid w:val="00A4510D"/>
    <w:rsid w:val="00A526C5"/>
    <w:rsid w:val="00A81247"/>
    <w:rsid w:val="00A817F6"/>
    <w:rsid w:val="00AA28FD"/>
    <w:rsid w:val="00AA6765"/>
    <w:rsid w:val="00AB7704"/>
    <w:rsid w:val="00AC195A"/>
    <w:rsid w:val="00AD2D97"/>
    <w:rsid w:val="00AD76E5"/>
    <w:rsid w:val="00AE450C"/>
    <w:rsid w:val="00AE5D4B"/>
    <w:rsid w:val="00B0439A"/>
    <w:rsid w:val="00B155C5"/>
    <w:rsid w:val="00B16332"/>
    <w:rsid w:val="00B25375"/>
    <w:rsid w:val="00B52A9E"/>
    <w:rsid w:val="00B52C9C"/>
    <w:rsid w:val="00B827FD"/>
    <w:rsid w:val="00BA03BD"/>
    <w:rsid w:val="00BA6BD2"/>
    <w:rsid w:val="00BD7C4B"/>
    <w:rsid w:val="00BE1693"/>
    <w:rsid w:val="00BF2657"/>
    <w:rsid w:val="00C0300F"/>
    <w:rsid w:val="00C127C9"/>
    <w:rsid w:val="00C229F9"/>
    <w:rsid w:val="00C31E1F"/>
    <w:rsid w:val="00C40014"/>
    <w:rsid w:val="00C42675"/>
    <w:rsid w:val="00C54C73"/>
    <w:rsid w:val="00C5634E"/>
    <w:rsid w:val="00C6499D"/>
    <w:rsid w:val="00C86843"/>
    <w:rsid w:val="00C93DF9"/>
    <w:rsid w:val="00C93F4C"/>
    <w:rsid w:val="00C96E71"/>
    <w:rsid w:val="00CD05A6"/>
    <w:rsid w:val="00CD3D41"/>
    <w:rsid w:val="00CE3038"/>
    <w:rsid w:val="00CF58CA"/>
    <w:rsid w:val="00D0156D"/>
    <w:rsid w:val="00D01F8D"/>
    <w:rsid w:val="00D11499"/>
    <w:rsid w:val="00D41797"/>
    <w:rsid w:val="00D45C97"/>
    <w:rsid w:val="00D526EE"/>
    <w:rsid w:val="00D52E77"/>
    <w:rsid w:val="00D5507A"/>
    <w:rsid w:val="00D559D4"/>
    <w:rsid w:val="00D60F63"/>
    <w:rsid w:val="00D62545"/>
    <w:rsid w:val="00D63276"/>
    <w:rsid w:val="00D67FAC"/>
    <w:rsid w:val="00D83EB7"/>
    <w:rsid w:val="00D925A6"/>
    <w:rsid w:val="00D96616"/>
    <w:rsid w:val="00DA1BF8"/>
    <w:rsid w:val="00DD43F8"/>
    <w:rsid w:val="00DE1407"/>
    <w:rsid w:val="00E101D2"/>
    <w:rsid w:val="00E14234"/>
    <w:rsid w:val="00E2436C"/>
    <w:rsid w:val="00E367CF"/>
    <w:rsid w:val="00E37F8E"/>
    <w:rsid w:val="00E43D76"/>
    <w:rsid w:val="00E45AB8"/>
    <w:rsid w:val="00E46A83"/>
    <w:rsid w:val="00E64103"/>
    <w:rsid w:val="00E67891"/>
    <w:rsid w:val="00E728F4"/>
    <w:rsid w:val="00E853DF"/>
    <w:rsid w:val="00E91D0F"/>
    <w:rsid w:val="00EA5AE3"/>
    <w:rsid w:val="00EB75A6"/>
    <w:rsid w:val="00EC10D9"/>
    <w:rsid w:val="00EE229F"/>
    <w:rsid w:val="00EF0827"/>
    <w:rsid w:val="00F02A82"/>
    <w:rsid w:val="00F04A08"/>
    <w:rsid w:val="00F5068E"/>
    <w:rsid w:val="00F561E8"/>
    <w:rsid w:val="00F63A3D"/>
    <w:rsid w:val="00F91B93"/>
    <w:rsid w:val="00FA2FAD"/>
    <w:rsid w:val="00FA75B9"/>
    <w:rsid w:val="00FB44F3"/>
    <w:rsid w:val="00FE7E87"/>
    <w:rsid w:val="01050944"/>
    <w:rsid w:val="017E2739"/>
    <w:rsid w:val="0A6E1FC6"/>
    <w:rsid w:val="0AFE53BA"/>
    <w:rsid w:val="0EF56F8E"/>
    <w:rsid w:val="168A0C07"/>
    <w:rsid w:val="201637D9"/>
    <w:rsid w:val="20700ABB"/>
    <w:rsid w:val="21F632DA"/>
    <w:rsid w:val="27817E07"/>
    <w:rsid w:val="28BF71F2"/>
    <w:rsid w:val="2CF75313"/>
    <w:rsid w:val="347C6618"/>
    <w:rsid w:val="37310572"/>
    <w:rsid w:val="4B851AD0"/>
    <w:rsid w:val="4DDB31F5"/>
    <w:rsid w:val="5664268A"/>
    <w:rsid w:val="5AAE2166"/>
    <w:rsid w:val="632F43F6"/>
    <w:rsid w:val="691107ED"/>
    <w:rsid w:val="6A0572E8"/>
    <w:rsid w:val="7AE00CFB"/>
    <w:rsid w:val="7C0F7CC8"/>
    <w:rsid w:val="7CE00428"/>
    <w:rsid w:val="7F1F7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heme="minorAscii" w:hAnsiTheme="minorAscii" w:eastAsiaTheme="minorEastAsia" w:cstheme="minorBidi"/>
      <w:kern w:val="2"/>
      <w:sz w:val="28"/>
      <w:lang w:val="en-US" w:eastAsia="zh-CN" w:bidi="ar-SA"/>
    </w:rPr>
  </w:style>
  <w:style w:type="paragraph" w:styleId="4">
    <w:name w:val="heading 1"/>
    <w:basedOn w:val="1"/>
    <w:next w:val="1"/>
    <w:qFormat/>
    <w:uiPriority w:val="9"/>
    <w:pPr>
      <w:keepNext/>
      <w:keepLines/>
      <w:spacing w:before="340" w:beforeLines="0" w:beforeAutospacing="0" w:after="330" w:afterLines="0" w:afterAutospacing="0" w:line="576" w:lineRule="auto"/>
      <w:outlineLvl w:val="0"/>
    </w:pPr>
    <w:rPr>
      <w:rFonts w:eastAsia="宋体" w:asciiTheme="minorAscii" w:hAnsiTheme="minorAscii"/>
      <w:b/>
      <w:kern w:val="44"/>
      <w:sz w:val="32"/>
    </w:rPr>
  </w:style>
  <w:style w:type="paragraph" w:styleId="5">
    <w:name w:val="heading 2"/>
    <w:basedOn w:val="1"/>
    <w:next w:val="1"/>
    <w:unhideWhenUsed/>
    <w:qFormat/>
    <w:uiPriority w:val="9"/>
    <w:pPr>
      <w:keepNext/>
      <w:keepLines/>
      <w:spacing w:before="260" w:after="260" w:line="415" w:lineRule="auto"/>
      <w:outlineLvl w:val="1"/>
    </w:pPr>
    <w:rPr>
      <w:rFonts w:asciiTheme="majorHAnsi" w:hAnsiTheme="majorHAnsi" w:eastAsiaTheme="majorEastAsia" w:cstheme="majorBidi"/>
      <w:b/>
      <w:sz w:val="32"/>
    </w:rPr>
  </w:style>
  <w:style w:type="paragraph" w:styleId="6">
    <w:name w:val="heading 3"/>
    <w:basedOn w:val="1"/>
    <w:next w:val="1"/>
    <w:semiHidden/>
    <w:unhideWhenUsed/>
    <w:qFormat/>
    <w:uiPriority w:val="9"/>
    <w:pPr>
      <w:keepNext/>
      <w:keepLines/>
      <w:spacing w:before="260" w:after="260" w:line="415" w:lineRule="auto"/>
      <w:outlineLvl w:val="2"/>
    </w:pPr>
    <w:rPr>
      <w:b/>
      <w:sz w:val="32"/>
    </w:rPr>
  </w:style>
  <w:style w:type="paragraph" w:styleId="7">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pPr>
      <w:ind w:left="637"/>
    </w:pPr>
    <w:rPr>
      <w:rFonts w:ascii="宋体" w:hAnsi="宋体" w:eastAsia="宋体" w:cs="宋体"/>
      <w:kern w:val="0"/>
    </w:rPr>
  </w:style>
  <w:style w:type="paragraph" w:styleId="8">
    <w:name w:val="Normal Indent"/>
    <w:basedOn w:val="1"/>
    <w:autoRedefine/>
    <w:qFormat/>
    <w:uiPriority w:val="0"/>
    <w:pPr>
      <w:ind w:firstLine="420" w:firstLineChars="200"/>
    </w:pPr>
  </w:style>
  <w:style w:type="paragraph" w:styleId="9">
    <w:name w:val="annotation text"/>
    <w:basedOn w:val="1"/>
    <w:qFormat/>
    <w:uiPriority w:val="0"/>
    <w:rPr>
      <w:rFonts w:ascii="Calibri" w:hAnsi="Calibri" w:eastAsia="宋体" w:cs="Calibri"/>
    </w:rPr>
  </w:style>
  <w:style w:type="paragraph" w:styleId="10">
    <w:name w:val="footer"/>
    <w:basedOn w:val="1"/>
    <w:qFormat/>
    <w:uiPriority w:val="0"/>
    <w:rPr>
      <w:sz w:val="18"/>
    </w:rPr>
  </w:style>
  <w:style w:type="paragraph" w:styleId="11">
    <w:name w:val="header"/>
    <w:basedOn w:val="1"/>
    <w:qFormat/>
    <w:uiPriority w:val="0"/>
    <w:pPr>
      <w:pBdr>
        <w:bottom w:val="single" w:color="000000" w:sz="6" w:space="1"/>
      </w:pBdr>
      <w:jc w:val="center"/>
    </w:pPr>
    <w:rPr>
      <w:sz w:val="18"/>
    </w:rPr>
  </w:style>
  <w:style w:type="paragraph" w:styleId="12">
    <w:name w:val="Title"/>
    <w:basedOn w:val="1"/>
    <w:next w:val="1"/>
    <w:link w:val="35"/>
    <w:qFormat/>
    <w:uiPriority w:val="10"/>
    <w:pPr>
      <w:spacing w:before="240" w:after="60"/>
      <w:jc w:val="center"/>
      <w:outlineLvl w:val="0"/>
    </w:pPr>
    <w:rPr>
      <w:rFonts w:asciiTheme="majorHAnsi" w:hAnsiTheme="majorHAnsi" w:eastAsiaTheme="majorEastAsia" w:cstheme="majorBidi"/>
      <w:b/>
      <w:bCs/>
      <w:sz w:val="32"/>
      <w:szCs w:val="32"/>
    </w:rPr>
  </w:style>
  <w:style w:type="table" w:styleId="14">
    <w:name w:val="Table Grid"/>
    <w:basedOn w:val="13"/>
    <w:autoRedefine/>
    <w:qFormat/>
    <w:uiPriority w:val="0"/>
    <w:pPr>
      <w:widowControl w:val="0"/>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Strong"/>
    <w:basedOn w:val="15"/>
    <w:qFormat/>
    <w:uiPriority w:val="0"/>
    <w:rPr>
      <w:b/>
    </w:rPr>
  </w:style>
  <w:style w:type="character" w:styleId="17">
    <w:name w:val="annotation reference"/>
    <w:qFormat/>
    <w:uiPriority w:val="0"/>
    <w:rPr>
      <w:sz w:val="21"/>
    </w:rPr>
  </w:style>
  <w:style w:type="paragraph" w:customStyle="1" w:styleId="18">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character" w:customStyle="1" w:styleId="19">
    <w:name w:val="标题 3 字符"/>
    <w:basedOn w:val="15"/>
    <w:autoRedefine/>
    <w:qFormat/>
    <w:uiPriority w:val="0"/>
    <w:rPr>
      <w:b/>
      <w:kern w:val="2"/>
      <w:sz w:val="32"/>
    </w:rPr>
  </w:style>
  <w:style w:type="character" w:customStyle="1" w:styleId="20">
    <w:name w:val="标题 4 字符"/>
    <w:basedOn w:val="15"/>
    <w:autoRedefine/>
    <w:qFormat/>
    <w:uiPriority w:val="0"/>
    <w:rPr>
      <w:rFonts w:asciiTheme="majorHAnsi" w:hAnsiTheme="majorHAnsi" w:eastAsiaTheme="majorEastAsia" w:cstheme="majorBidi"/>
      <w:b/>
      <w:kern w:val="2"/>
      <w:sz w:val="28"/>
    </w:rPr>
  </w:style>
  <w:style w:type="character" w:customStyle="1" w:styleId="21">
    <w:name w:val="正文文本 字符"/>
    <w:basedOn w:val="15"/>
    <w:qFormat/>
    <w:uiPriority w:val="0"/>
    <w:rPr>
      <w:rFonts w:ascii="宋体" w:hAnsi="宋体" w:eastAsia="宋体" w:cs="宋体"/>
      <w:sz w:val="21"/>
    </w:rPr>
  </w:style>
  <w:style w:type="paragraph" w:customStyle="1" w:styleId="22">
    <w:name w:val="正文缩进_0"/>
    <w:basedOn w:val="23"/>
    <w:autoRedefine/>
    <w:qFormat/>
    <w:uiPriority w:val="0"/>
    <w:pPr>
      <w:ind w:firstLine="420"/>
    </w:pPr>
    <w:rPr>
      <w:rFonts w:ascii="Times New Roman" w:hAnsi="Times New Roman"/>
      <w:kern w:val="0"/>
    </w:rPr>
  </w:style>
  <w:style w:type="paragraph" w:customStyle="1" w:styleId="23">
    <w:name w:val="正文_1"/>
    <w:autoRedefine/>
    <w:qFormat/>
    <w:uiPriority w:val="0"/>
    <w:pPr>
      <w:widowControl w:val="0"/>
    </w:pPr>
    <w:rPr>
      <w:rFonts w:ascii="Calibri" w:hAnsi="Calibri" w:eastAsiaTheme="minorEastAsia" w:cstheme="minorBidi"/>
      <w:kern w:val="2"/>
      <w:sz w:val="21"/>
      <w:lang w:val="en-US" w:eastAsia="zh-CN" w:bidi="ar-SA"/>
    </w:rPr>
  </w:style>
  <w:style w:type="character" w:customStyle="1" w:styleId="24">
    <w:name w:val="批注文字 字符1"/>
    <w:autoRedefine/>
    <w:qFormat/>
    <w:uiPriority w:val="0"/>
    <w:rPr>
      <w:rFonts w:ascii="Calibri" w:hAnsi="Calibri" w:eastAsia="宋体" w:cs="Calibri"/>
      <w:kern w:val="2"/>
      <w:sz w:val="21"/>
    </w:rPr>
  </w:style>
  <w:style w:type="paragraph" w:customStyle="1" w:styleId="25">
    <w:name w:val="列出段落1"/>
    <w:basedOn w:val="1"/>
    <w:autoRedefine/>
    <w:qFormat/>
    <w:uiPriority w:val="0"/>
    <w:pPr>
      <w:ind w:firstLine="420" w:firstLineChars="200"/>
    </w:pPr>
    <w:rPr>
      <w:rFonts w:ascii="Times New Roman" w:hAnsi="Times New Roman" w:eastAsia="宋体" w:cs="Times New Roman"/>
    </w:rPr>
  </w:style>
  <w:style w:type="character" w:customStyle="1" w:styleId="26">
    <w:name w:val="正文缩进 Char_0"/>
    <w:autoRedefine/>
    <w:qFormat/>
    <w:uiPriority w:val="0"/>
    <w:rPr>
      <w:rFonts w:ascii="Times New Roman" w:hAnsi="Times New Roman" w:eastAsia="宋体" w:cs="Times New Roman"/>
      <w:sz w:val="21"/>
    </w:rPr>
  </w:style>
  <w:style w:type="character" w:customStyle="1" w:styleId="27">
    <w:name w:val="页脚 字符"/>
    <w:basedOn w:val="15"/>
    <w:qFormat/>
    <w:uiPriority w:val="0"/>
    <w:rPr>
      <w:kern w:val="2"/>
      <w:sz w:val="18"/>
    </w:rPr>
  </w:style>
  <w:style w:type="character" w:customStyle="1" w:styleId="28">
    <w:name w:val="页眉 字符"/>
    <w:basedOn w:val="15"/>
    <w:autoRedefine/>
    <w:qFormat/>
    <w:uiPriority w:val="0"/>
    <w:rPr>
      <w:kern w:val="2"/>
      <w:sz w:val="18"/>
    </w:rPr>
  </w:style>
  <w:style w:type="paragraph" w:styleId="29">
    <w:name w:val="List Paragraph"/>
    <w:basedOn w:val="1"/>
    <w:qFormat/>
    <w:uiPriority w:val="0"/>
    <w:pPr>
      <w:ind w:firstLine="420" w:firstLineChars="200"/>
    </w:pPr>
  </w:style>
  <w:style w:type="character" w:customStyle="1" w:styleId="30">
    <w:name w:val="列表段落 字符"/>
    <w:autoRedefine/>
    <w:qFormat/>
    <w:uiPriority w:val="0"/>
    <w:rPr>
      <w:kern w:val="2"/>
      <w:sz w:val="21"/>
    </w:rPr>
  </w:style>
  <w:style w:type="character" w:customStyle="1" w:styleId="31">
    <w:name w:val="批注文字 字符"/>
    <w:basedOn w:val="15"/>
    <w:autoRedefine/>
    <w:qFormat/>
    <w:uiPriority w:val="0"/>
    <w:rPr>
      <w:kern w:val="2"/>
      <w:sz w:val="21"/>
    </w:rPr>
  </w:style>
  <w:style w:type="paragraph" w:customStyle="1" w:styleId="32">
    <w:name w:val="监测指标、参考指标"/>
    <w:basedOn w:val="1"/>
    <w:qFormat/>
    <w:uiPriority w:val="0"/>
    <w:pPr>
      <w:outlineLvl w:val="1"/>
    </w:pPr>
    <w:rPr>
      <w:rFonts w:eastAsia="仿宋_GB2312"/>
      <w:b/>
      <w:sz w:val="28"/>
      <w:szCs w:val="28"/>
    </w:rPr>
  </w:style>
  <w:style w:type="paragraph" w:customStyle="1" w:styleId="33">
    <w:name w:val="各章标题（方案）"/>
    <w:basedOn w:val="12"/>
    <w:next w:val="1"/>
    <w:link w:val="34"/>
    <w:autoRedefine/>
    <w:qFormat/>
    <w:uiPriority w:val="0"/>
    <w:pPr>
      <w:numPr>
        <w:ilvl w:val="0"/>
        <w:numId w:val="1"/>
      </w:numPr>
      <w:spacing w:before="480" w:after="360"/>
    </w:pPr>
    <w:rPr>
      <w:rFonts w:ascii="黑体" w:hAnsi="黑体" w:eastAsia="黑体"/>
    </w:rPr>
  </w:style>
  <w:style w:type="character" w:customStyle="1" w:styleId="34">
    <w:name w:val="各章标题（方案） 字符"/>
    <w:basedOn w:val="35"/>
    <w:link w:val="33"/>
    <w:qFormat/>
    <w:uiPriority w:val="0"/>
    <w:rPr>
      <w:rFonts w:ascii="黑体" w:hAnsi="黑体" w:eastAsia="黑体" w:cstheme="majorBidi"/>
      <w:kern w:val="2"/>
      <w:sz w:val="32"/>
      <w:szCs w:val="32"/>
    </w:rPr>
  </w:style>
  <w:style w:type="character" w:customStyle="1" w:styleId="35">
    <w:name w:val="标题 字符"/>
    <w:basedOn w:val="15"/>
    <w:link w:val="12"/>
    <w:qFormat/>
    <w:uiPriority w:val="10"/>
    <w:rPr>
      <w:rFonts w:asciiTheme="majorHAnsi" w:hAnsiTheme="majorHAnsi" w:eastAsiaTheme="majorEastAsia" w:cstheme="majorBidi"/>
      <w:b/>
      <w:bCs/>
      <w:kern w:val="2"/>
      <w:sz w:val="32"/>
      <w:szCs w:val="32"/>
    </w:rPr>
  </w:style>
  <w:style w:type="paragraph" w:customStyle="1" w:styleId="36">
    <w:name w:val="Revision"/>
    <w:hidden/>
    <w:unhideWhenUsed/>
    <w:qFormat/>
    <w:uiPriority w:val="99"/>
    <w:rPr>
      <w:rFonts w:asciiTheme="minorHAnsi" w:hAnsiTheme="minorHAnsi" w:eastAsiaTheme="minorEastAsia" w:cstheme="minorBidi"/>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737</Words>
  <Characters>751</Characters>
  <Lines>1</Lines>
  <Paragraphs>1</Paragraphs>
  <TotalTime>3</TotalTime>
  <ScaleCrop>false</ScaleCrop>
  <LinksUpToDate>false</LinksUpToDate>
  <CharactersWithSpaces>751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2023-05-31T00:58:00Z</dcterms:created>
  <dc:creator>DingTalk</dc:creator>
  <dc:description>DingTalk Document</dc:description>
  <cp:lastModifiedBy>Tosm</cp:lastModifiedBy>
  <dcterms:modified xsi:type="dcterms:W3CDTF">2025-09-30T02:14:18Z</dcterms:modified>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4F04332A35AC496D8F8DB637118C1F7C_13</vt:lpwstr>
  </property>
  <property fmtid="{D5CDD505-2E9C-101B-9397-08002B2CF9AE}" pid="4" name="KSOTemplateDocerSaveRecord">
    <vt:lpwstr>eyJoZGlkIjoiN2I0MmQ3MDdiNzU0NWNhMmUzOTA2Y2NjYWM3OThmNWMiLCJ1c2VySWQiOiIzNjkyOTczNDMifQ==</vt:lpwstr>
  </property>
</Properties>
</file>