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医院智能综合对账服务系统</w:t>
      </w:r>
    </w:p>
    <w:p>
      <w:pPr>
        <w:jc w:val="center"/>
        <w:rPr>
          <w:b/>
          <w:sz w:val="36"/>
        </w:rPr>
      </w:pPr>
      <w:r>
        <w:rPr>
          <w:rFonts w:hint="eastAsia"/>
          <w:b/>
          <w:sz w:val="36"/>
          <w:lang w:val="en-US" w:eastAsia="zh-CN"/>
        </w:rPr>
        <w:t>用户</w:t>
      </w:r>
      <w:bookmarkStart w:id="0" w:name="_GoBack"/>
      <w:bookmarkEnd w:id="0"/>
      <w:r>
        <w:rPr>
          <w:rFonts w:hint="eastAsia"/>
          <w:b/>
          <w:sz w:val="36"/>
        </w:rPr>
        <w:t>需求书</w:t>
      </w:r>
    </w:p>
    <w:p>
      <w:pPr>
        <w:pStyle w:val="3"/>
        <w:numPr>
          <w:ilvl w:val="0"/>
          <w:numId w:val="2"/>
        </w:numPr>
      </w:pPr>
      <w:r>
        <w:rPr>
          <w:rFonts w:hint="eastAsia"/>
        </w:rPr>
        <w:t>主要目标</w:t>
      </w:r>
    </w:p>
    <w:p>
      <w:pPr>
        <w:spacing w:line="360" w:lineRule="auto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传统的基于单个ERP系统的软件无法承担高复杂性的数据来源和交易渠道，如何核对交易和到账情况，成为医院财务管理的巨大挑战。以自动化、智能化为先导的智能综合对账服务平台呼之欲出，衔接了传统的对账断点，保障了业务的合规性、促进了全流程的自动化，发挥了数据治理体系的关键纽带作用。</w:t>
      </w:r>
    </w:p>
    <w:p>
      <w:pPr>
        <w:pStyle w:val="2"/>
      </w:pPr>
    </w:p>
    <w:p>
      <w:pPr>
        <w:pStyle w:val="3"/>
        <w:numPr>
          <w:ilvl w:val="0"/>
          <w:numId w:val="2"/>
        </w:numPr>
      </w:pPr>
      <w:r>
        <w:rPr>
          <w:rFonts w:hint="eastAsia"/>
        </w:rPr>
        <w:t>项目建设清单</w:t>
      </w:r>
    </w:p>
    <w:tbl>
      <w:tblPr>
        <w:tblStyle w:val="9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15"/>
        <w:gridCol w:w="2484"/>
        <w:gridCol w:w="56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6" w:hRule="atLeast"/>
          <w:jc w:val="center"/>
        </w:trPr>
        <w:tc>
          <w:tcPr>
            <w:tcW w:w="9003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</w:rPr>
              <w:t>智能综合对账服务系统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首页</w:t>
            </w: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运营数据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显示已完成对账运营数据，包含交易金额，交易笔数等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快捷入口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定制快捷菜单入口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系统通知展示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显示系统通知，如对账结果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restart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自动对账服务</w:t>
            </w: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HIS账单获取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根据系统配置时间，策略从医院HIS系统获取指定时间的交易账单和业务明细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收单机构账单获取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根据系统配置时间，策略从医保系统、支付宝，微信，银联等机构获取交易账单明细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账单解析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对特定的HIS账单，以及收单行账单进行账单格式解析，存入数据中心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实收交易获取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获取医院银行账户的实收数据，并进行帅选，分析。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8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自动对账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逐笔核对HIS，收单机构、账户实收记录，存储对账结果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91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异常处理</w:t>
            </w: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T+1对账预警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T+1对账的异常记录触发该模块，向指定的联系人发送预警通知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预警记录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可查询历史预警记录及处理信息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异常记录查询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查询异常对账记录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6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异常记录处理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手工勾兑异常记录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" w:hRule="atLeast"/>
          <w:jc w:val="center"/>
        </w:trPr>
        <w:tc>
          <w:tcPr>
            <w:tcW w:w="91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对账平台</w:t>
            </w: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订单查询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查询支付订单数据，业务数据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交易查询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查询医疗费用支付数据，支付方式，支付金额，时间，状态等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退费记录查询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查询退费记录明细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应收数据查询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根据时间、用户信息等查询应收数据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收单记录查询</w:t>
            </w:r>
          </w:p>
        </w:tc>
        <w:tc>
          <w:tcPr>
            <w:tcW w:w="5604" w:type="dxa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根据时间，用户，交易账户等查询收单方交易记录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实收记录查询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查询支付宝、微信、银行、线上医保电子账单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对账结果查询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根据时间，渠道，厂家查询对账结果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预警记录查询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查询单边账预警记录，接收状态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91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报表管理</w:t>
            </w: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支付业务明细报表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按日期、支付方式、支付渠道统计业务明细报表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支付业务汇总报表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按日期、支付方式、支付渠道统计业务汇总报表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终端交易统计报表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按日期、交易终端统计的交易报表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对账统计报表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按日期、应收款与实收款对账统计的汇总报表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终端/应用业务类报表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按业务类型统计每种支付渠道交易汇总报表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终端/应用支付类报表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按业务类型统计每种支付渠道支付汇总报表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交易汇总报表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按支付方式、业务类型统计业务汇总报表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0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其他报表定制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可按用户需求新增定制报表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5" w:hRule="atLeast"/>
          <w:jc w:val="center"/>
        </w:trPr>
        <w:tc>
          <w:tcPr>
            <w:tcW w:w="915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系统管理</w:t>
            </w: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用户管理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对系统用户信息进行新增、修改、查询、删除、注销等操作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用户组管理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对用户组信息进行新增、修改、查询、删除、注销等操作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用户组权限配置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对用户组配置菜单、操作权限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菜单配置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对系统菜单进行新增、修改、查询、删除操作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系统参数设定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对系统参数进行新增、修改、查询、删除操作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3" w:hRule="atLeast"/>
          <w:jc w:val="center"/>
        </w:trPr>
        <w:tc>
          <w:tcPr>
            <w:tcW w:w="915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</w:p>
        </w:tc>
        <w:tc>
          <w:tcPr>
            <w:tcW w:w="248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交易渠道管理</w:t>
            </w:r>
          </w:p>
        </w:tc>
        <w:tc>
          <w:tcPr>
            <w:tcW w:w="5604" w:type="dxa"/>
            <w:shd w:val="clear" w:color="auto" w:fill="FFFFFF"/>
            <w:vAlign w:val="bottom"/>
          </w:tcPr>
          <w:p>
            <w:pPr>
              <w:widowControl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</w:rPr>
              <w:t>对交易渠道的账户、密钥等信息进行管理</w:t>
            </w:r>
          </w:p>
        </w:tc>
      </w:tr>
    </w:tbl>
    <w:p/>
    <w:p/>
    <w:p/>
    <w:p/>
    <w:p/>
    <w:p>
      <w:pPr>
        <w:spacing w:line="360" w:lineRule="auto"/>
        <w:ind w:firstLine="420"/>
        <w:rPr>
          <w:rFonts w:ascii="宋体" w:hAnsi="宋体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450240"/>
    <w:multiLevelType w:val="multilevel"/>
    <w:tmpl w:val="51450240"/>
    <w:lvl w:ilvl="0" w:tentative="0">
      <w:start w:val="1"/>
      <w:numFmt w:val="decimal"/>
      <w:pStyle w:val="4"/>
      <w:lvlText w:val="1.1.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EF36141"/>
    <w:multiLevelType w:val="multilevel"/>
    <w:tmpl w:val="5EF36141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iZjVkNDYzOTE4ZjYxNmM0YmNiNjkwZWM5NmU0ZTMifQ=="/>
  </w:docVars>
  <w:rsids>
    <w:rsidRoot w:val="000A52F5"/>
    <w:rsid w:val="000766E3"/>
    <w:rsid w:val="000A52F5"/>
    <w:rsid w:val="0019269E"/>
    <w:rsid w:val="001E2EEC"/>
    <w:rsid w:val="001F7298"/>
    <w:rsid w:val="002213F7"/>
    <w:rsid w:val="00254C53"/>
    <w:rsid w:val="002648E7"/>
    <w:rsid w:val="002C20B0"/>
    <w:rsid w:val="003D6B62"/>
    <w:rsid w:val="004040BD"/>
    <w:rsid w:val="005808EE"/>
    <w:rsid w:val="005A5660"/>
    <w:rsid w:val="00673DD1"/>
    <w:rsid w:val="006E1B20"/>
    <w:rsid w:val="00735E14"/>
    <w:rsid w:val="007648EE"/>
    <w:rsid w:val="007725FC"/>
    <w:rsid w:val="007773B9"/>
    <w:rsid w:val="00803862"/>
    <w:rsid w:val="0081596E"/>
    <w:rsid w:val="00990D5D"/>
    <w:rsid w:val="009F0987"/>
    <w:rsid w:val="00A444B5"/>
    <w:rsid w:val="00A557DD"/>
    <w:rsid w:val="00AB6F80"/>
    <w:rsid w:val="00AD6A4F"/>
    <w:rsid w:val="00AE3412"/>
    <w:rsid w:val="00B475A9"/>
    <w:rsid w:val="00B53732"/>
    <w:rsid w:val="00B80838"/>
    <w:rsid w:val="00B92A6B"/>
    <w:rsid w:val="00C70F3A"/>
    <w:rsid w:val="00C82D72"/>
    <w:rsid w:val="00CC445F"/>
    <w:rsid w:val="00DC1B8E"/>
    <w:rsid w:val="00DF6404"/>
    <w:rsid w:val="00E35231"/>
    <w:rsid w:val="00EC6C09"/>
    <w:rsid w:val="00EF055A"/>
    <w:rsid w:val="0E727910"/>
    <w:rsid w:val="1F5A7929"/>
    <w:rsid w:val="28B962B2"/>
    <w:rsid w:val="596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0"/>
    <w:pPr>
      <w:keepNext/>
      <w:keepLines/>
      <w:numPr>
        <w:ilvl w:val="0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1"/>
    <w:pPr>
      <w:autoSpaceDE w:val="0"/>
      <w:autoSpaceDN w:val="0"/>
      <w:ind w:left="638"/>
      <w:jc w:val="left"/>
    </w:pPr>
    <w:rPr>
      <w:rFonts w:ascii="宋体" w:hAnsi="宋体" w:eastAsia="宋体" w:cs="宋体"/>
      <w:kern w:val="0"/>
      <w:szCs w:val="21"/>
      <w:lang w:val="zh-CN" w:bidi="zh-CN"/>
    </w:rPr>
  </w:style>
  <w:style w:type="paragraph" w:styleId="6">
    <w:name w:val="annotation text"/>
    <w:basedOn w:val="1"/>
    <w:link w:val="21"/>
    <w:qFormat/>
    <w:uiPriority w:val="0"/>
    <w:pPr>
      <w:jc w:val="left"/>
    </w:pPr>
    <w:rPr>
      <w:rFonts w:ascii="Calibri" w:hAnsi="Calibri" w:eastAsia="宋体" w:cs="Calibri"/>
      <w:szCs w:val="21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annotation reference"/>
    <w:qFormat/>
    <w:uiPriority w:val="0"/>
    <w:rPr>
      <w:sz w:val="21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4">
    <w:name w:val="正文文本 Char"/>
    <w:basedOn w:val="10"/>
    <w:link w:val="2"/>
    <w:qFormat/>
    <w:uiPriority w:val="1"/>
    <w:rPr>
      <w:rFonts w:ascii="宋体" w:hAnsi="宋体" w:eastAsia="宋体" w:cs="宋体"/>
      <w:sz w:val="21"/>
      <w:szCs w:val="21"/>
      <w:lang w:val="zh-CN" w:bidi="zh-CN"/>
    </w:rPr>
  </w:style>
  <w:style w:type="character" w:customStyle="1" w:styleId="15">
    <w:name w:val="页眉 Char"/>
    <w:basedOn w:val="10"/>
    <w:link w:val="8"/>
    <w:qFormat/>
    <w:uiPriority w:val="0"/>
    <w:rPr>
      <w:kern w:val="2"/>
      <w:sz w:val="18"/>
      <w:szCs w:val="18"/>
    </w:rPr>
  </w:style>
  <w:style w:type="character" w:customStyle="1" w:styleId="16">
    <w:name w:val="页脚 Char"/>
    <w:basedOn w:val="10"/>
    <w:link w:val="7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link w:val="22"/>
    <w:qFormat/>
    <w:uiPriority w:val="34"/>
    <w:pPr>
      <w:ind w:firstLine="420" w:firstLineChars="200"/>
    </w:pPr>
  </w:style>
  <w:style w:type="character" w:customStyle="1" w:styleId="18">
    <w:name w:val="标题 3 Char"/>
    <w:basedOn w:val="10"/>
    <w:link w:val="4"/>
    <w:qFormat/>
    <w:uiPriority w:val="0"/>
    <w:rPr>
      <w:b/>
      <w:bCs/>
      <w:kern w:val="2"/>
      <w:sz w:val="32"/>
      <w:szCs w:val="32"/>
    </w:rPr>
  </w:style>
  <w:style w:type="character" w:customStyle="1" w:styleId="19">
    <w:name w:val="标题 4 Char"/>
    <w:basedOn w:val="10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0">
    <w:name w:val="批注文字 字符"/>
    <w:basedOn w:val="10"/>
    <w:qFormat/>
    <w:uiPriority w:val="0"/>
    <w:rPr>
      <w:kern w:val="2"/>
      <w:sz w:val="21"/>
      <w:szCs w:val="22"/>
    </w:rPr>
  </w:style>
  <w:style w:type="character" w:customStyle="1" w:styleId="21">
    <w:name w:val="批注文字 Char"/>
    <w:link w:val="6"/>
    <w:qFormat/>
    <w:uiPriority w:val="0"/>
    <w:rPr>
      <w:rFonts w:ascii="Calibri" w:hAnsi="Calibri" w:eastAsia="宋体" w:cs="Calibri"/>
      <w:kern w:val="2"/>
      <w:sz w:val="21"/>
      <w:szCs w:val="21"/>
    </w:rPr>
  </w:style>
  <w:style w:type="character" w:customStyle="1" w:styleId="22">
    <w:name w:val="列出段落 Char"/>
    <w:link w:val="17"/>
    <w:qFormat/>
    <w:locked/>
    <w:uiPriority w:val="34"/>
    <w:rPr>
      <w:kern w:val="2"/>
      <w:sz w:val="21"/>
      <w:szCs w:val="22"/>
    </w:rPr>
  </w:style>
  <w:style w:type="paragraph" w:customStyle="1" w:styleId="23">
    <w:name w:val="正文缩进_0"/>
    <w:basedOn w:val="24"/>
    <w:link w:val="25"/>
    <w:qFormat/>
    <w:uiPriority w:val="0"/>
    <w:pPr>
      <w:ind w:firstLine="420"/>
    </w:pPr>
    <w:rPr>
      <w:rFonts w:ascii="Times New Roman" w:hAnsi="Times New Roman"/>
      <w:kern w:val="0"/>
      <w:szCs w:val="20"/>
      <w:lang w:val="zh-CN"/>
    </w:rPr>
  </w:style>
  <w:style w:type="paragraph" w:customStyle="1" w:styleId="24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5">
    <w:name w:val="正文缩进 Char_0"/>
    <w:link w:val="23"/>
    <w:qFormat/>
    <w:uiPriority w:val="0"/>
    <w:rPr>
      <w:rFonts w:ascii="Times New Roman" w:hAnsi="Times New Roman" w:eastAsia="宋体" w:cs="Times New Roman"/>
      <w:sz w:val="21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2</Pages>
  <Words>1046</Words>
  <Characters>1060</Characters>
  <Lines>8</Lines>
  <Paragraphs>2</Paragraphs>
  <TotalTime>7</TotalTime>
  <ScaleCrop>false</ScaleCrop>
  <LinksUpToDate>false</LinksUpToDate>
  <CharactersWithSpaces>1060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2022-06-22T07:21:00Z</dcterms:created>
  <dc:creator>jameszhou</dc:creator>
  <cp:lastModifiedBy>James</cp:lastModifiedBy>
  <dcterms:modified xsi:type="dcterms:W3CDTF">2022-06-28T04:58:16Z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2907D52D32D94B2C8523B7ABC1EC018B</vt:lpwstr>
  </property>
</Properties>
</file>