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454" w:after="454"/>
        <w:ind w:left="454" w:right="454"/>
        <w:jc w:val="center"/>
        <w:outlineLvl w:val="0"/>
        <w:rPr>
          <w:rFonts w:ascii="宋体" w:hAnsi="宋体" w:cs="宋体"/>
          <w:color w:val="000000" w:themeColor="text1"/>
          <w:sz w:val="40"/>
          <w:szCs w:val="40"/>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南方科技大学医院可吸收止血纱招标要求</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一、投标人资质要求：</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1、具有独立法人资格；</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4、本次投标单位必须是厂家或一、二级代理商，三级代理授权无效；</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6、灭菌产品需提供灭菌消毒相关检测报告和相关材料（如检验报告书有体现的，可不提供）；</w:t>
      </w: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7、不接受联合体投标。</w:t>
      </w: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二、货物清单:</w:t>
      </w:r>
    </w:p>
    <w:tbl>
      <w:tblPr>
        <w:tblStyle w:val="9"/>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993"/>
        <w:gridCol w:w="2242"/>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12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99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224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规格</w:t>
            </w:r>
          </w:p>
        </w:tc>
        <w:tc>
          <w:tcPr>
            <w:tcW w:w="20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可吸收止血纱A</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（2.5*5.0cm）±5%</w:t>
            </w:r>
          </w:p>
        </w:tc>
        <w:tc>
          <w:tcPr>
            <w:tcW w:w="2009" w:type="dxa"/>
            <w:vMerge w:val="restart"/>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★本次招标采取每个规格分别计算综合得分的方式，分别确定各规格的综合得分排序，并根据排序确定中标公司。投标公司可以投标全部规格的产品，也可以投标部分规格的产品。投标公司可以兼投兼中。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可吸收止血纱B</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kern w:val="0"/>
                <w:szCs w:val="21"/>
              </w:rPr>
              <w:t>（5.0*5.0cm)</w:t>
            </w:r>
            <w:r>
              <w:rPr>
                <w:rFonts w:hint="eastAsia" w:ascii="宋体" w:hAnsi="宋体" w:cs="宋体"/>
                <w:color w:val="000000" w:themeColor="text1"/>
                <w:kern w:val="0"/>
                <w:szCs w:val="21"/>
                <w14:textFill>
                  <w14:solidFill>
                    <w14:schemeClr w14:val="tx1"/>
                  </w14:solidFill>
                </w14:textFill>
              </w:rPr>
              <w:t>±5%</w:t>
            </w:r>
          </w:p>
        </w:tc>
        <w:tc>
          <w:tcPr>
            <w:tcW w:w="2009" w:type="dxa"/>
            <w:vMerge w:val="continue"/>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51"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可吸收止血纱D</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rPr>
                <w:rFonts w:ascii="宋体" w:hAnsi="宋体" w:cs="宋体"/>
                <w:szCs w:val="21"/>
              </w:rPr>
            </w:pPr>
            <w:r>
              <w:rPr>
                <w:rFonts w:hint="eastAsia" w:ascii="宋体" w:hAnsi="宋体" w:cs="宋体"/>
                <w:color w:val="000000" w:themeColor="text1"/>
                <w:kern w:val="0"/>
                <w:szCs w:val="21"/>
                <w14:textFill>
                  <w14:solidFill>
                    <w14:schemeClr w14:val="tx1"/>
                  </w14:solidFill>
                </w14:textFill>
              </w:rPr>
              <w:t>（5.0*10.0cm）±5%</w:t>
            </w:r>
          </w:p>
          <w:p>
            <w:pPr>
              <w:jc w:val="center"/>
              <w:rPr>
                <w:rFonts w:ascii="宋体" w:hAnsi="宋体" w:cs="宋体"/>
                <w:color w:val="000000" w:themeColor="text1"/>
                <w:szCs w:val="21"/>
                <w14:textFill>
                  <w14:solidFill>
                    <w14:schemeClr w14:val="tx1"/>
                  </w14:solidFill>
                </w14:textFill>
              </w:rPr>
            </w:pPr>
          </w:p>
        </w:tc>
        <w:tc>
          <w:tcPr>
            <w:tcW w:w="2009" w:type="dxa"/>
            <w:vMerge w:val="continue"/>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p>
        </w:tc>
        <w:tc>
          <w:tcPr>
            <w:tcW w:w="212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可吸收止血纱E</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片</w:t>
            </w:r>
          </w:p>
        </w:tc>
        <w:tc>
          <w:tcPr>
            <w:tcW w:w="224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（10.0*20.0cm）±5%</w:t>
            </w:r>
          </w:p>
        </w:tc>
        <w:tc>
          <w:tcPr>
            <w:tcW w:w="2009" w:type="dxa"/>
            <w:vMerge w:val="continue"/>
            <w:vAlign w:val="center"/>
          </w:tcPr>
          <w:p>
            <w:pPr>
              <w:jc w:val="center"/>
              <w:rPr>
                <w:rFonts w:ascii="宋体" w:hAnsi="宋体" w:cs="宋体"/>
                <w:color w:val="000000" w:themeColor="text1"/>
                <w14:textFill>
                  <w14:solidFill>
                    <w14:schemeClr w14:val="tx1"/>
                  </w14:solidFill>
                </w14:textFill>
              </w:rPr>
            </w:pPr>
          </w:p>
        </w:tc>
      </w:tr>
    </w:tbl>
    <w:p>
      <w:pPr>
        <w:pStyle w:val="3"/>
        <w:spacing w:before="120" w:beforeLines="50" w:after="120" w:afterLines="50"/>
        <w:jc w:val="both"/>
        <w:rPr>
          <w:rFonts w:cs="宋体"/>
          <w:bCs w:val="0"/>
          <w:color w:val="000000" w:themeColor="text1"/>
          <w:kern w:val="2"/>
          <w:szCs w:val="24"/>
          <w14:textFill>
            <w14:solidFill>
              <w14:schemeClr w14:val="tx1"/>
            </w14:solidFill>
          </w14:textFill>
        </w:rPr>
      </w:pPr>
      <w:r>
        <w:rPr>
          <w:rFonts w:hint="eastAsia" w:cs="宋体"/>
          <w:bCs w:val="0"/>
          <w:color w:val="000000" w:themeColor="text1"/>
          <w:kern w:val="2"/>
          <w:szCs w:val="24"/>
          <w14:textFill>
            <w14:solidFill>
              <w14:schemeClr w14:val="tx1"/>
            </w14:solidFill>
          </w14:textFill>
        </w:rPr>
        <w:t xml:space="preserve">三、具体技术要求  </w:t>
      </w:r>
    </w:p>
    <w:tbl>
      <w:tblPr>
        <w:tblStyle w:val="9"/>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27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481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招标技术要求</w:t>
            </w:r>
          </w:p>
        </w:tc>
        <w:tc>
          <w:tcPr>
            <w:tcW w:w="127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1</w:t>
            </w:r>
          </w:p>
        </w:tc>
        <w:tc>
          <w:tcPr>
            <w:tcW w:w="1276" w:type="dxa"/>
            <w:vMerge w:val="restart"/>
          </w:tcPr>
          <w:p>
            <w:pPr>
              <w:widowControl/>
              <w:jc w:val="left"/>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szCs w:val="21"/>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可吸收止血纱</w:t>
            </w:r>
          </w:p>
        </w:tc>
        <w:tc>
          <w:tcPr>
            <w:tcW w:w="4819" w:type="dxa"/>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1.1、分层、结构化非编织结构，疏松编制构造，贴附不规则创面。</w:t>
            </w:r>
          </w:p>
        </w:tc>
        <w:tc>
          <w:tcPr>
            <w:tcW w:w="1276" w:type="dxa"/>
            <w:vMerge w:val="restart"/>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▲1.2、材质具有优异的生物降解性。</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▲1.3、具有抑菌性</w:t>
            </w:r>
            <w:r>
              <w:rPr>
                <w:rFonts w:hint="eastAsia" w:ascii="宋体" w:hAnsi="宋体" w:cs="宋体"/>
                <w:color w:val="000000" w:themeColor="text1"/>
                <w:kern w:val="0"/>
                <w:szCs w:val="21"/>
                <w14:textFill>
                  <w14:solidFill>
                    <w14:schemeClr w14:val="tx1"/>
                  </w14:solidFill>
                </w14:textFill>
              </w:rPr>
              <w:t>。</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1.4、2-8分钟有效止血，7-14天内完全吸收。</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1.5、具有结构完整性和形态记忆力。</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1.6、可通过5mm trocar后展开贴合于腔镜下的创面。</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1.7、促进创面愈合具有镇痛作用。</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c>
          <w:tcPr>
            <w:tcW w:w="4819" w:type="dxa"/>
          </w:tcPr>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产品必须具有第三类医疗器械注册证要求必须满足，否则按无效投标处理</w:t>
            </w:r>
            <w:r>
              <w:rPr>
                <w:rFonts w:hint="eastAsia" w:ascii="宋体" w:hAnsi="宋体" w:cs="宋体"/>
                <w:color w:val="000000" w:themeColor="text1"/>
                <w:kern w:val="0"/>
                <w:szCs w:val="21"/>
                <w14:textFill>
                  <w14:solidFill>
                    <w14:schemeClr w14:val="tx1"/>
                  </w14:solidFill>
                </w14:textFill>
              </w:rPr>
              <w:t>。</w:t>
            </w:r>
          </w:p>
        </w:tc>
        <w:tc>
          <w:tcPr>
            <w:tcW w:w="1276" w:type="dxa"/>
            <w:vMerge w:val="continue"/>
          </w:tcPr>
          <w:p>
            <w:pPr>
              <w:widowControl/>
              <w:jc w:val="left"/>
              <w:rPr>
                <w:rFonts w:ascii="宋体" w:hAnsi="宋体" w:cs="宋体"/>
                <w:color w:val="000000" w:themeColor="text1"/>
                <w:kern w:val="0"/>
                <w:szCs w:val="21"/>
                <w14:textFill>
                  <w14:solidFill>
                    <w14:schemeClr w14:val="tx1"/>
                  </w14:solidFill>
                </w14:textFill>
              </w:rPr>
            </w:pPr>
          </w:p>
        </w:tc>
      </w:tr>
    </w:tbl>
    <w:p>
      <w:pPr>
        <w:pStyle w:val="3"/>
        <w:spacing w:before="120" w:beforeLines="50" w:after="120" w:afterLines="50"/>
        <w:jc w:val="both"/>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注：★要求提供产品注册检验报告的全部内容复印件作为技术参数的证明材料</w:t>
      </w: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四、分项报价清单</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b/>
          <w:color w:val="000000" w:themeColor="text1"/>
          <w:sz w:val="24"/>
          <w14:textFill>
            <w14:solidFill>
              <w14:schemeClr w14:val="tx1"/>
            </w14:solidFill>
          </w14:textFill>
        </w:rPr>
        <w:t>项目报价表</w:t>
      </w:r>
    </w:p>
    <w:tbl>
      <w:tblPr>
        <w:tblStyle w:val="9"/>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货物名称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阳光平台编码</w:t>
            </w:r>
          </w:p>
        </w:tc>
        <w:tc>
          <w:tcPr>
            <w:tcW w:w="8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产品注册名称</w:t>
            </w:r>
          </w:p>
        </w:tc>
        <w:tc>
          <w:tcPr>
            <w:tcW w:w="851"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产品注册证号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w:t>
            </w:r>
          </w:p>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型号</w:t>
            </w:r>
          </w:p>
        </w:tc>
        <w:tc>
          <w:tcPr>
            <w:tcW w:w="99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原产地/品牌</w:t>
            </w:r>
          </w:p>
        </w:tc>
        <w:tc>
          <w:tcPr>
            <w:tcW w:w="141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生产企业</w:t>
            </w:r>
          </w:p>
        </w:tc>
        <w:tc>
          <w:tcPr>
            <w:tcW w:w="70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包装规格</w:t>
            </w:r>
          </w:p>
        </w:tc>
        <w:tc>
          <w:tcPr>
            <w:tcW w:w="82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单位</w:t>
            </w:r>
          </w:p>
        </w:tc>
        <w:tc>
          <w:tcPr>
            <w:tcW w:w="70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850" w:type="dxa"/>
          </w:tcPr>
          <w:p>
            <w:pPr>
              <w:spacing w:line="360" w:lineRule="auto"/>
              <w:rPr>
                <w:rFonts w:ascii="宋体" w:hAnsi="宋体" w:cs="宋体"/>
                <w:color w:val="000000" w:themeColor="text1"/>
                <w:szCs w:val="21"/>
                <w14:textFill>
                  <w14:solidFill>
                    <w14:schemeClr w14:val="tx1"/>
                  </w14:solidFill>
                </w14:textFill>
              </w:rPr>
            </w:pPr>
          </w:p>
        </w:tc>
        <w:tc>
          <w:tcPr>
            <w:tcW w:w="851"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992" w:type="dxa"/>
          </w:tcPr>
          <w:p>
            <w:pPr>
              <w:spacing w:line="360" w:lineRule="auto"/>
              <w:rPr>
                <w:rFonts w:ascii="宋体" w:hAnsi="宋体" w:cs="宋体"/>
                <w:color w:val="000000" w:themeColor="text1"/>
                <w:szCs w:val="21"/>
                <w14:textFill>
                  <w14:solidFill>
                    <w14:schemeClr w14:val="tx1"/>
                  </w14:solidFill>
                </w14:textFill>
              </w:rPr>
            </w:pPr>
          </w:p>
        </w:tc>
        <w:tc>
          <w:tcPr>
            <w:tcW w:w="1418" w:type="dxa"/>
          </w:tcPr>
          <w:p>
            <w:pPr>
              <w:spacing w:line="360" w:lineRule="auto"/>
              <w:rPr>
                <w:rFonts w:ascii="宋体" w:hAnsi="宋体" w:cs="宋体"/>
                <w:color w:val="000000" w:themeColor="text1"/>
                <w:szCs w:val="21"/>
                <w14:textFill>
                  <w14:solidFill>
                    <w14:schemeClr w14:val="tx1"/>
                  </w14:solidFill>
                </w14:textFill>
              </w:rPr>
            </w:pPr>
          </w:p>
        </w:tc>
        <w:tc>
          <w:tcPr>
            <w:tcW w:w="708" w:type="dxa"/>
          </w:tcPr>
          <w:p>
            <w:pPr>
              <w:spacing w:line="360" w:lineRule="auto"/>
              <w:rPr>
                <w:rFonts w:ascii="宋体" w:hAnsi="宋体" w:cs="宋体"/>
                <w:color w:val="000000" w:themeColor="text1"/>
                <w:szCs w:val="21"/>
                <w14:textFill>
                  <w14:solidFill>
                    <w14:schemeClr w14:val="tx1"/>
                  </w14:solidFill>
                </w14:textFill>
              </w:rPr>
            </w:pPr>
          </w:p>
        </w:tc>
        <w:tc>
          <w:tcPr>
            <w:tcW w:w="829" w:type="dxa"/>
          </w:tcPr>
          <w:p>
            <w:pPr>
              <w:spacing w:line="360" w:lineRule="auto"/>
              <w:rPr>
                <w:rFonts w:ascii="宋体" w:hAnsi="宋体" w:cs="宋体"/>
                <w:color w:val="000000" w:themeColor="text1"/>
                <w:szCs w:val="21"/>
                <w14:textFill>
                  <w14:solidFill>
                    <w14:schemeClr w14:val="tx1"/>
                  </w14:solidFill>
                </w14:textFill>
              </w:rPr>
            </w:pPr>
          </w:p>
        </w:tc>
        <w:tc>
          <w:tcPr>
            <w:tcW w:w="709" w:type="dxa"/>
          </w:tcPr>
          <w:p>
            <w:pPr>
              <w:spacing w:line="360" w:lineRule="auto"/>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*注：1、如投标产品在深圳阳光平台目录内，则投标价格不得高于深圳阳光平台参考限价，否则投标无效。2、投标人所报单价需保证为深圳地区最低价。</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使用产品的医院名单（附清晰的发票复印件）</w:t>
      </w:r>
    </w:p>
    <w:tbl>
      <w:tblPr>
        <w:tblStyle w:val="9"/>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规格及型号</w:t>
            </w:r>
          </w:p>
        </w:tc>
        <w:tc>
          <w:tcPr>
            <w:tcW w:w="141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省份+城市</w:t>
            </w:r>
          </w:p>
        </w:tc>
        <w:tc>
          <w:tcPr>
            <w:tcW w:w="234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医院名称</w:t>
            </w:r>
          </w:p>
        </w:tc>
        <w:tc>
          <w:tcPr>
            <w:tcW w:w="1786"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医院级别</w:t>
            </w:r>
          </w:p>
        </w:tc>
        <w:tc>
          <w:tcPr>
            <w:tcW w:w="1337"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发票日期</w:t>
            </w:r>
          </w:p>
        </w:tc>
        <w:tc>
          <w:tcPr>
            <w:tcW w:w="1180" w:type="dxa"/>
            <w:vAlign w:val="bottom"/>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color w:val="000000" w:themeColor="text1"/>
                <w:szCs w:val="21"/>
                <w14:textFill>
                  <w14:solidFill>
                    <w14:schemeClr w14:val="tx1"/>
                  </w14:solidFill>
                </w14:textFill>
              </w:rPr>
            </w:pPr>
          </w:p>
        </w:tc>
        <w:tc>
          <w:tcPr>
            <w:tcW w:w="1417" w:type="dxa"/>
            <w:vAlign w:val="center"/>
          </w:tcPr>
          <w:p>
            <w:pPr>
              <w:jc w:val="center"/>
              <w:rPr>
                <w:rFonts w:ascii="宋体" w:hAnsi="宋体" w:cs="宋体"/>
                <w:color w:val="000000" w:themeColor="text1"/>
                <w:szCs w:val="21"/>
                <w14:textFill>
                  <w14:solidFill>
                    <w14:schemeClr w14:val="tx1"/>
                  </w14:solidFill>
                </w14:textFill>
              </w:rPr>
            </w:pPr>
          </w:p>
        </w:tc>
        <w:tc>
          <w:tcPr>
            <w:tcW w:w="2346" w:type="dxa"/>
            <w:vAlign w:val="center"/>
          </w:tcPr>
          <w:p>
            <w:pPr>
              <w:jc w:val="center"/>
              <w:rPr>
                <w:rFonts w:ascii="宋体" w:hAnsi="宋体" w:cs="宋体"/>
                <w:color w:val="000000" w:themeColor="text1"/>
                <w:szCs w:val="21"/>
                <w14:textFill>
                  <w14:solidFill>
                    <w14:schemeClr w14:val="tx1"/>
                  </w14:solidFill>
                </w14:textFill>
              </w:rPr>
            </w:pPr>
          </w:p>
        </w:tc>
        <w:tc>
          <w:tcPr>
            <w:tcW w:w="1786" w:type="dxa"/>
            <w:vAlign w:val="center"/>
          </w:tcPr>
          <w:p>
            <w:pPr>
              <w:jc w:val="center"/>
              <w:rPr>
                <w:rFonts w:ascii="宋体" w:hAnsi="宋体" w:cs="宋体"/>
                <w:color w:val="000000" w:themeColor="text1"/>
                <w:szCs w:val="21"/>
                <w14:textFill>
                  <w14:solidFill>
                    <w14:schemeClr w14:val="tx1"/>
                  </w14:solidFill>
                </w14:textFill>
              </w:rPr>
            </w:pPr>
          </w:p>
        </w:tc>
        <w:tc>
          <w:tcPr>
            <w:tcW w:w="1337" w:type="dxa"/>
            <w:vAlign w:val="center"/>
          </w:tcPr>
          <w:p>
            <w:pPr>
              <w:jc w:val="center"/>
              <w:rPr>
                <w:rFonts w:ascii="宋体" w:hAnsi="宋体" w:cs="宋体"/>
                <w:color w:val="000000" w:themeColor="text1"/>
                <w:szCs w:val="21"/>
                <w14:textFill>
                  <w14:solidFill>
                    <w14:schemeClr w14:val="tx1"/>
                  </w14:solidFill>
                </w14:textFill>
              </w:rPr>
            </w:pPr>
          </w:p>
        </w:tc>
        <w:tc>
          <w:tcPr>
            <w:tcW w:w="1180" w:type="dxa"/>
            <w:vAlign w:val="center"/>
          </w:tcPr>
          <w:p>
            <w:pPr>
              <w:jc w:val="center"/>
              <w:rPr>
                <w:rFonts w:ascii="宋体" w:hAnsi="宋体" w:cs="宋体"/>
                <w:color w:val="000000" w:themeColor="text1"/>
                <w:szCs w:val="21"/>
                <w14:textFill>
                  <w14:solidFill>
                    <w14:schemeClr w14:val="tx1"/>
                  </w14:solidFill>
                </w14:textFill>
              </w:rPr>
            </w:pPr>
          </w:p>
        </w:tc>
      </w:tr>
    </w:tbl>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1、如空格不够填写可自行添加，请勿删除表格内容；</w:t>
      </w:r>
    </w:p>
    <w:p>
      <w:pPr>
        <w:tabs>
          <w:tab w:val="left" w:pos="312"/>
        </w:tabs>
        <w:ind w:firstLine="525" w:firstLineChars="25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2、所提供的发票不限于贵司，需近一年内发票，优先考虑深圳市内，其次省内外；</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供应商认为需要涉及的其他内容报价清单（不改变格式，可添加）。</w:t>
      </w:r>
    </w:p>
    <w:p>
      <w:pPr>
        <w:rPr>
          <w:rFonts w:ascii="宋体" w:hAnsi="宋体" w:cs="宋体"/>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配送时效（</w:t>
      </w:r>
      <w:r>
        <w:rPr>
          <w:rFonts w:hint="eastAsia" w:ascii="宋体" w:hAnsi="宋体" w:cs="宋体"/>
          <w:color w:val="000000" w:themeColor="text1"/>
          <w:sz w:val="24"/>
          <w14:textFill>
            <w14:solidFill>
              <w14:schemeClr w14:val="tx1"/>
            </w14:solidFill>
          </w14:textFill>
        </w:rPr>
        <w:t>请打“√”</w:t>
      </w:r>
      <w:r>
        <w:rPr>
          <w:rFonts w:hint="eastAsia" w:ascii="宋体" w:hAnsi="宋体" w:cs="宋体"/>
          <w:b/>
          <w:color w:val="000000" w:themeColor="text1"/>
          <w:sz w:val="24"/>
          <w14:textFill>
            <w14:solidFill>
              <w14:schemeClr w14:val="tx1"/>
            </w14:solidFill>
          </w14:textFill>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当天</w:t>
            </w:r>
          </w:p>
        </w:tc>
        <w:tc>
          <w:tcPr>
            <w:tcW w:w="1843"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3个工作日</w:t>
            </w:r>
          </w:p>
        </w:tc>
        <w:tc>
          <w:tcPr>
            <w:tcW w:w="198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1周内</w:t>
            </w:r>
          </w:p>
        </w:tc>
        <w:tc>
          <w:tcPr>
            <w:tcW w:w="1985"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1-2周内</w:t>
            </w:r>
          </w:p>
        </w:tc>
        <w:tc>
          <w:tcPr>
            <w:tcW w:w="1821"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43"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4"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821"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bl>
    <w:p>
      <w:pPr>
        <w:rPr>
          <w:rFonts w:ascii="宋体" w:hAnsi="宋体" w:cs="宋体"/>
          <w:color w:val="000000" w:themeColor="text1"/>
          <w:sz w:val="24"/>
          <w14:textFill>
            <w14:solidFill>
              <w14:schemeClr w14:val="tx1"/>
            </w14:solidFill>
          </w14:textFill>
        </w:rPr>
      </w:pPr>
    </w:p>
    <w:p>
      <w:pPr>
        <w:pStyle w:val="3"/>
        <w:spacing w:before="120" w:beforeLines="50" w:after="120" w:afterLines="50"/>
        <w:jc w:val="both"/>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五、商务需求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62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目录</w:t>
            </w:r>
          </w:p>
        </w:tc>
        <w:tc>
          <w:tcPr>
            <w:tcW w:w="5484"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有效期</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5484" w:type="dxa"/>
            <w:vAlign w:val="center"/>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2.2供</w:t>
            </w:r>
            <w:r>
              <w:rPr>
                <w:rFonts w:hint="eastAsia" w:ascii="宋体" w:hAnsi="宋体" w:cs="宋体"/>
                <w:bCs/>
                <w:color w:val="000000" w:themeColor="text1"/>
                <w:szCs w:val="21"/>
                <w14:textFill>
                  <w14:solidFill>
                    <w14:schemeClr w14:val="tx1"/>
                  </w14:solidFill>
                </w14:textFill>
              </w:rPr>
              <w:t>方</w:t>
            </w:r>
            <w:r>
              <w:rPr>
                <w:rFonts w:hint="eastAsia" w:ascii="宋体" w:hAnsi="宋体" w:cs="宋体"/>
                <w:color w:val="000000" w:themeColor="text1"/>
                <w:szCs w:val="21"/>
                <w14:textFill>
                  <w14:solidFill>
                    <w14:schemeClr w14:val="tx1"/>
                  </w14:solidFill>
                </w14:textFill>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rPr>
                <w:rFonts w:ascii="宋体" w:hAnsi="宋体" w:cs="宋体"/>
                <w:color w:val="000000" w:themeColor="text1"/>
                <w:szCs w:val="21"/>
                <w14:textFill>
                  <w14:solidFill>
                    <w14:schemeClr w14:val="tx1"/>
                  </w14:solidFill>
                </w14:textFill>
              </w:rPr>
            </w:pPr>
          </w:p>
        </w:tc>
        <w:tc>
          <w:tcPr>
            <w:tcW w:w="5484"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交货</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手术中需要使用的材料，一般医用耗材、急（抢）救医用耗材等，在接到通知24小时内送货到指定地点，应急情况下，3小时内供货至指定地点，节假日照常配送</w:t>
            </w:r>
            <w:r>
              <w:rPr>
                <w:rFonts w:hint="eastAsia" w:ascii="宋体" w:hAnsi="宋体" w:cs="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1.3</w:t>
            </w:r>
            <w:r>
              <w:rPr>
                <w:rFonts w:hint="eastAsia" w:ascii="宋体" w:hAnsi="宋体" w:cs="宋体"/>
                <w:color w:val="000000" w:themeColor="text1"/>
                <w:szCs w:val="21"/>
                <w14:textFill>
                  <w14:solidFill>
                    <w14:schemeClr w14:val="tx1"/>
                  </w14:solidFill>
                </w14:textFill>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1620"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5484" w:type="dxa"/>
          </w:tcPr>
          <w:p>
            <w:pPr>
              <w:spacing w:line="34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供方</w:t>
            </w:r>
            <w:r>
              <w:rPr>
                <w:rFonts w:hint="eastAsia" w:ascii="宋体" w:hAnsi="宋体" w:cs="宋体"/>
                <w:bCs/>
                <w:color w:val="000000" w:themeColor="text1"/>
                <w:szCs w:val="21"/>
                <w14:textFill>
                  <w14:solidFill>
                    <w14:schemeClr w14:val="tx1"/>
                  </w14:solidFill>
                </w14:textFill>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1620" w:type="dxa"/>
            <w:vMerge w:val="restart"/>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w:t>
            </w: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3.1全额发票与货同行，货到验收合格后三个月内支付全部货款；</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1620" w:type="dxa"/>
            <w:vMerge w:val="continue"/>
          </w:tcPr>
          <w:p>
            <w:pPr>
              <w:rPr>
                <w:rFonts w:ascii="宋体" w:hAnsi="宋体" w:cs="宋体"/>
                <w:b/>
                <w:color w:val="000000" w:themeColor="text1"/>
                <w:szCs w:val="21"/>
                <w14:textFill>
                  <w14:solidFill>
                    <w14:schemeClr w14:val="tx1"/>
                  </w14:solidFill>
                </w14:textFill>
              </w:rPr>
            </w:pPr>
          </w:p>
        </w:tc>
        <w:tc>
          <w:tcPr>
            <w:tcW w:w="5484" w:type="dxa"/>
          </w:tcPr>
          <w:p>
            <w:pP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3.3如发票不能与货同行，必须在当月25日前补交，逾期不交，则货款不予以支付。</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六、评标方法：综合评标法（总分100分）</w:t>
      </w:r>
    </w:p>
    <w:p>
      <w:pPr>
        <w:ind w:left="92" w:leftChars="44"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pPr>
        <w:ind w:left="92" w:leftChars="44" w:firstLine="420" w:firstLineChars="200"/>
        <w:rPr>
          <w:rFonts w:ascii="宋体" w:hAnsi="宋体" w:cs="宋体"/>
          <w:color w:val="000000" w:themeColor="text1"/>
          <w:szCs w:val="21"/>
          <w14:textFill>
            <w14:solidFill>
              <w14:schemeClr w14:val="tx1"/>
            </w14:solidFill>
          </w14:textFill>
        </w:rPr>
      </w:pPr>
    </w:p>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七、评标委员会人数为5人及以上（单数），评标时取总分计算排名；</w:t>
      </w:r>
    </w:p>
    <w:tbl>
      <w:tblPr>
        <w:tblStyle w:val="9"/>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评分项</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评分因素</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421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价格部分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7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产品响应情况</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评标委员会根据《技术参数响应及明细表》响应情况进行打分，全部满足的得20分，一般参数负偏离一项扣2分，重点技术参数▲项负偏离一项扣4分，扣完为止。</w:t>
            </w:r>
          </w:p>
          <w:p>
            <w:pPr>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应如实填写所投产品的具体参数，如虚假应标，取消中标资格，限制五年内不得参加医院招投标。</w:t>
            </w:r>
            <w:r>
              <w:rPr>
                <w:rFonts w:hint="eastAsia" w:ascii="宋体" w:hAnsi="宋体" w:cs="宋体"/>
                <w:color w:val="000000" w:themeColor="text1"/>
                <w:szCs w:val="21"/>
                <w14:textFill>
                  <w14:solidFill>
                    <w14:schemeClr w14:val="tx1"/>
                  </w14:solidFill>
                </w14:textFill>
              </w:rPr>
              <w:t>如要求提供以下证明资料的，提供的证明资料与所填写内容不一致的，以证明资料为准，原件备查。</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1.产品彩页；</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2.说明书；</w:t>
            </w:r>
          </w:p>
          <w:p>
            <w:pPr>
              <w:ind w:left="420" w:left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3.厂家出具的参数文件；</w:t>
            </w:r>
          </w:p>
          <w:p>
            <w:pPr>
              <w:ind w:left="4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产品注册检验报告的全部内容复印件（此项必须提供，否则投标无效）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现场实物考评</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投标产品质量和性能</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30分</w:t>
            </w:r>
          </w:p>
        </w:tc>
        <w:tc>
          <w:tcPr>
            <w:tcW w:w="4216" w:type="dxa"/>
            <w:vAlign w:val="center"/>
          </w:tcPr>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所投样品的稳定性、可靠性、安全性、有效性：（1）是否具有生物相容性；（2）是否具有抑菌性；（3）是否适用于复杂创面；（4）是否具有操作便利性（例如可在腔镜、内镜、椎间孔镜下使用，不粘附器械，不影响术野与操作），由评审委员会评委对所投样品进行评价：</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优评审标准：提供样品，且满足以上全部评分要求的得22-30分；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良评审标准：提供样品，满足以上任意3项评分要求的得14-21分；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中评审标准：提供样品，满足以上任意2项评分要求的得6-13分；</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差评审标准：提供样品，满足以上任意1项评分要求的得0-5分；</w:t>
            </w:r>
          </w:p>
          <w:p>
            <w:pPr>
              <w:pStyle w:val="6"/>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商务部分</w:t>
            </w:r>
          </w:p>
        </w:tc>
        <w:tc>
          <w:tcPr>
            <w:tcW w:w="1288"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市场承认度</w:t>
            </w:r>
          </w:p>
        </w:tc>
        <w:tc>
          <w:tcPr>
            <w:tcW w:w="7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提供同类项目的发票或合同证明，复印件需加盖公章，同一家医院提供的多个发票或合同证明不作重复计算。</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同时提供医院客户是“三甲”医院的证明材料（在中华人民共和国国家卫生健康委员会网站查询结果的截图，网站链接为：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1"/>
                <w:rFonts w:hint="eastAsia" w:ascii="宋体" w:hAnsi="宋体" w:cs="宋体"/>
                <w:color w:val="000000" w:themeColor="text1"/>
                <w:szCs w:val="21"/>
                <w14:textFill>
                  <w14:solidFill>
                    <w14:schemeClr w14:val="tx1"/>
                  </w14:solidFill>
                </w14:textFill>
              </w:rPr>
              <w:t>http://zgcx.nhc.gov.cn:9090/unit）</w:t>
            </w:r>
            <w:r>
              <w:rPr>
                <w:rStyle w:val="11"/>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不提供截图证明材料的视为医院客户为非“三甲”医院客户，该项目不得分。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“三甲”医院使用情况（近两年内）：</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每提供一家“三甲”医院客户证明材料的，得1分，最高得10分，不提供不得分。</w:t>
            </w:r>
          </w:p>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57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深圳阳光平台目录内产品（10分）</w:t>
            </w:r>
          </w:p>
        </w:tc>
        <w:tc>
          <w:tcPr>
            <w:tcW w:w="1288"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产品在深圳阳光平台目录内</w:t>
            </w:r>
          </w:p>
        </w:tc>
        <w:tc>
          <w:tcPr>
            <w:tcW w:w="7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10分</w:t>
            </w:r>
          </w:p>
        </w:tc>
        <w:tc>
          <w:tcPr>
            <w:tcW w:w="421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提供产品在深圳阳光平台目录内的截图作为证明资料得10分，不提供截图视为不在深圳阳光平台目录内，该项不得分。</w:t>
            </w:r>
          </w:p>
        </w:tc>
      </w:tr>
    </w:tbl>
    <w:p>
      <w:pPr>
        <w:tabs>
          <w:tab w:val="left" w:pos="1260"/>
        </w:tabs>
        <w:spacing w:line="400" w:lineRule="exact"/>
        <w:rPr>
          <w:rFonts w:ascii="宋体" w:hAnsi="宋体" w:cs="宋体"/>
          <w:bCs/>
          <w:color w:val="000000" w:themeColor="text1"/>
          <w:szCs w:val="21"/>
          <w14:textFill>
            <w14:solidFill>
              <w14:schemeClr w14:val="tx1"/>
            </w14:solidFill>
          </w14:textFill>
        </w:rPr>
      </w:pPr>
    </w:p>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7"/>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7"/>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23EAD"/>
    <w:rsid w:val="00747AA5"/>
    <w:rsid w:val="00B034FA"/>
    <w:rsid w:val="00BE6A63"/>
    <w:rsid w:val="04DE1601"/>
    <w:rsid w:val="06FB38EF"/>
    <w:rsid w:val="098C448F"/>
    <w:rsid w:val="2DC26C29"/>
    <w:rsid w:val="2E4E59EA"/>
    <w:rsid w:val="306F2F7D"/>
    <w:rsid w:val="342F0976"/>
    <w:rsid w:val="42940CEB"/>
    <w:rsid w:val="49FE2966"/>
    <w:rsid w:val="4AEB53A3"/>
    <w:rsid w:val="50BA0E92"/>
    <w:rsid w:val="528371EF"/>
    <w:rsid w:val="5BBC2C9A"/>
    <w:rsid w:val="70CF287D"/>
    <w:rsid w:val="746A3063"/>
    <w:rsid w:val="74823EAD"/>
    <w:rsid w:val="7675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6">
    <w:name w:val="annotation text"/>
    <w:basedOn w:val="1"/>
    <w:semiHidden/>
    <w:qFormat/>
    <w:uiPriority w:val="0"/>
    <w:pPr>
      <w:autoSpaceDE w:val="0"/>
      <w:autoSpaceDN w:val="0"/>
      <w:adjustRightInd w:val="0"/>
      <w:jc w:val="left"/>
      <w:textAlignment w:val="baseline"/>
    </w:pPr>
    <w:rPr>
      <w:rFonts w:ascii="宋体"/>
      <w:kern w:val="0"/>
      <w:sz w:val="3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608</Words>
  <Characters>3472</Characters>
  <Lines>28</Lines>
  <Paragraphs>8</Paragraphs>
  <TotalTime>11</TotalTime>
  <ScaleCrop>false</ScaleCrop>
  <LinksUpToDate>false</LinksUpToDate>
  <CharactersWithSpaces>4072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2022-02-22T09:02:00Z</dcterms:created>
  <dc:creator>Administrator</dc:creator>
  <cp:lastModifiedBy>TIGER</cp:lastModifiedBy>
  <dcterms:modified xsi:type="dcterms:W3CDTF">2022-03-10T01:14:16Z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154C9134D8D74DEF847F9B211D50506E</vt:lpwstr>
  </property>
</Properties>
</file>