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454" w:after="454"/>
        <w:ind w:left="454" w:right="454"/>
        <w:jc w:val="center"/>
        <w:outlineLvl w:val="0"/>
        <w:rPr>
          <w:rFonts w:ascii="宋体" w:hAnsi="宋体" w:cs="宋体"/>
          <w:color w:val="000000" w:themeColor="text1"/>
          <w:sz w:val="40"/>
          <w:szCs w:val="40"/>
          <w14:textFill>
            <w14:solidFill>
              <w14:schemeClr w14:val="tx1"/>
            </w14:solidFill>
          </w14:textFill>
        </w:rPr>
      </w:pPr>
      <w:bookmarkStart w:id="0" w:name="_GoBack"/>
      <w:r>
        <w:rPr>
          <w:rFonts w:hint="eastAsia" w:ascii="宋体" w:hAnsi="宋体" w:cs="宋体"/>
          <w:b/>
          <w:color w:val="000000" w:themeColor="text1"/>
          <w:sz w:val="28"/>
          <w:szCs w:val="28"/>
          <w14:textFill>
            <w14:solidFill>
              <w14:schemeClr w14:val="tx1"/>
            </w14:solidFill>
          </w14:textFill>
        </w:rPr>
        <w:t>南方科技大学医院</w:t>
      </w:r>
      <w:r>
        <w:rPr>
          <w:rFonts w:hint="eastAsia" w:ascii="宋体" w:hAnsi="宋体" w:cs="宋体"/>
          <w:b/>
          <w:color w:val="000000" w:themeColor="text1"/>
          <w:sz w:val="28"/>
          <w:szCs w:val="28"/>
          <w:lang w:val="en-US" w:eastAsia="zh-CN"/>
          <w14:textFill>
            <w14:solidFill>
              <w14:schemeClr w14:val="tx1"/>
            </w14:solidFill>
          </w14:textFill>
        </w:rPr>
        <w:t>医用隔离面罩</w:t>
      </w:r>
      <w:r>
        <w:rPr>
          <w:rFonts w:hint="eastAsia" w:ascii="宋体" w:hAnsi="宋体" w:cs="宋体"/>
          <w:b/>
          <w:color w:val="000000" w:themeColor="text1"/>
          <w:sz w:val="28"/>
          <w:szCs w:val="28"/>
          <w14:textFill>
            <w14:solidFill>
              <w14:schemeClr w14:val="tx1"/>
            </w14:solidFill>
          </w14:textFill>
        </w:rPr>
        <w:t>招标要求</w:t>
      </w:r>
    </w:p>
    <w:bookmarkEnd w:id="0"/>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一、投标人资质要求：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1、具有独立法人资格；</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4、本次投标单位必须是厂家或一、二级代理商，三级代理授权无效；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6、灭菌产品需提供灭菌消毒相关检测报告和相关材料（如检验报告书有体现的，可不提供）；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7、不接受联合体投标。</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二、货物清单:</w:t>
      </w:r>
    </w:p>
    <w:tbl>
      <w:tblPr>
        <w:tblStyle w:val="8"/>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993"/>
        <w:gridCol w:w="260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12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99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260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规格</w:t>
            </w:r>
          </w:p>
        </w:tc>
        <w:tc>
          <w:tcPr>
            <w:tcW w:w="164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2126" w:type="dxa"/>
            <w:vAlign w:val="center"/>
          </w:tcPr>
          <w:p>
            <w:pPr>
              <w:jc w:val="center"/>
              <w:rPr>
                <w:rFonts w:ascii="宋体" w:hAnsi="宋体" w:cs="宋体"/>
                <w:szCs w:val="21"/>
              </w:rPr>
            </w:pPr>
            <w:r>
              <w:rPr>
                <w:rFonts w:hint="eastAsia" w:ascii="宋体" w:hAnsi="宋体" w:cs="宋体"/>
                <w:szCs w:val="21"/>
              </w:rPr>
              <w:t>医用隔离面罩</w:t>
            </w:r>
          </w:p>
        </w:tc>
        <w:tc>
          <w:tcPr>
            <w:tcW w:w="993"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个</w:t>
            </w:r>
          </w:p>
        </w:tc>
        <w:tc>
          <w:tcPr>
            <w:tcW w:w="2607"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w:t>
            </w:r>
            <w:r>
              <w:rPr>
                <w:rFonts w:hint="eastAsia" w:ascii="宋体" w:hAnsi="宋体" w:eastAsia="宋体" w:cs="宋体"/>
                <w:szCs w:val="21"/>
                <w:lang w:val="en-US" w:eastAsia="zh-CN"/>
              </w:rPr>
              <w:t>ⅹ</w:t>
            </w:r>
            <w:r>
              <w:rPr>
                <w:rFonts w:hint="eastAsia" w:ascii="宋体" w:hAnsi="宋体" w:cs="宋体"/>
                <w:szCs w:val="21"/>
                <w:lang w:val="en-US" w:eastAsia="zh-CN"/>
              </w:rPr>
              <w:t>30)cm</w:t>
            </w:r>
            <w:r>
              <w:rPr>
                <w:rFonts w:hint="eastAsia" w:ascii="宋体" w:hAnsi="宋体" w:eastAsia="宋体" w:cs="宋体"/>
                <w:szCs w:val="21"/>
                <w:lang w:val="en-US" w:eastAsia="zh-CN"/>
              </w:rPr>
              <w:t>±</w:t>
            </w:r>
            <w:r>
              <w:rPr>
                <w:rFonts w:hint="eastAsia" w:ascii="宋体" w:hAnsi="宋体" w:cs="宋体"/>
                <w:szCs w:val="21"/>
                <w:lang w:val="en-US" w:eastAsia="zh-CN"/>
              </w:rPr>
              <w:t>10%</w:t>
            </w:r>
          </w:p>
        </w:tc>
        <w:tc>
          <w:tcPr>
            <w:tcW w:w="1644" w:type="dxa"/>
            <w:vAlign w:val="center"/>
          </w:tcPr>
          <w:p>
            <w:pPr>
              <w:jc w:val="left"/>
              <w:rPr>
                <w:rFonts w:ascii="宋体" w:hAnsi="宋体" w:cs="宋体"/>
                <w:szCs w:val="21"/>
              </w:rPr>
            </w:pPr>
          </w:p>
        </w:tc>
      </w:tr>
    </w:tbl>
    <w:p>
      <w:pPr>
        <w:pStyle w:val="3"/>
        <w:spacing w:before="120" w:beforeLines="50" w:after="120" w:afterLines="50"/>
        <w:jc w:val="both"/>
        <w:rPr>
          <w:rFonts w:cs="宋体"/>
          <w:bCs w:val="0"/>
          <w:color w:val="000000" w:themeColor="text1"/>
          <w:kern w:val="2"/>
          <w:szCs w:val="24"/>
          <w14:textFill>
            <w14:solidFill>
              <w14:schemeClr w14:val="tx1"/>
            </w14:solidFill>
          </w14:textFill>
        </w:rPr>
      </w:pPr>
      <w:r>
        <w:rPr>
          <w:rFonts w:hint="eastAsia" w:cs="宋体"/>
          <w:bCs w:val="0"/>
          <w:color w:val="000000" w:themeColor="text1"/>
          <w:kern w:val="2"/>
          <w:szCs w:val="24"/>
          <w14:textFill>
            <w14:solidFill>
              <w14:schemeClr w14:val="tx1"/>
            </w14:solidFill>
          </w14:textFill>
        </w:rPr>
        <w:t xml:space="preserve">三、具体技术要求  </w:t>
      </w:r>
    </w:p>
    <w:tbl>
      <w:tblPr>
        <w:tblStyle w:val="8"/>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序号</w:t>
            </w:r>
          </w:p>
        </w:tc>
        <w:tc>
          <w:tcPr>
            <w:tcW w:w="1276" w:type="dxa"/>
            <w:vAlign w:val="center"/>
          </w:tcPr>
          <w:p>
            <w:pPr>
              <w:jc w:val="center"/>
              <w:rPr>
                <w:rFonts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货物名称</w:t>
            </w:r>
          </w:p>
        </w:tc>
        <w:tc>
          <w:tcPr>
            <w:tcW w:w="4819" w:type="dxa"/>
            <w:vAlign w:val="center"/>
          </w:tcPr>
          <w:p>
            <w:pPr>
              <w:jc w:val="center"/>
              <w:rPr>
                <w:rFonts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招标技术要求</w:t>
            </w:r>
          </w:p>
        </w:tc>
        <w:tc>
          <w:tcPr>
            <w:tcW w:w="1276" w:type="dxa"/>
            <w:vAlign w:val="center"/>
          </w:tcPr>
          <w:p>
            <w:pPr>
              <w:jc w:val="center"/>
              <w:rPr>
                <w:rFonts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hint="eastAsia" w:ascii="宋体" w:hAnsi="宋体" w:cs="宋体" w:eastAsiaTheme="minorEastAsia"/>
                <w:b/>
                <w:color w:val="000000" w:themeColor="text1"/>
                <w:kern w:val="0"/>
                <w:szCs w:val="21"/>
                <w14:textFill>
                  <w14:solidFill>
                    <w14:schemeClr w14:val="tx1"/>
                  </w14:solidFill>
                </w14:textFill>
              </w:rPr>
            </w:pPr>
          </w:p>
          <w:p>
            <w:pPr>
              <w:widowControl/>
              <w:jc w:val="left"/>
              <w:rPr>
                <w:rFonts w:hint="eastAsia" w:ascii="宋体" w:hAnsi="宋体" w:cs="宋体" w:eastAsiaTheme="minorEastAsia"/>
                <w:b/>
                <w:color w:val="000000" w:themeColor="text1"/>
                <w:kern w:val="0"/>
                <w:szCs w:val="21"/>
                <w14:textFill>
                  <w14:solidFill>
                    <w14:schemeClr w14:val="tx1"/>
                  </w14:solidFill>
                </w14:textFill>
              </w:rPr>
            </w:pPr>
          </w:p>
          <w:p>
            <w:pPr>
              <w:widowControl/>
              <w:jc w:val="left"/>
              <w:rPr>
                <w:rFonts w:hint="eastAsia" w:ascii="宋体" w:hAnsi="宋体" w:cs="宋体" w:eastAsiaTheme="minorEastAsia"/>
                <w:b/>
                <w:color w:val="000000" w:themeColor="text1"/>
                <w:kern w:val="0"/>
                <w:szCs w:val="21"/>
                <w14:textFill>
                  <w14:solidFill>
                    <w14:schemeClr w14:val="tx1"/>
                  </w14:solidFill>
                </w14:textFill>
              </w:rPr>
            </w:pPr>
          </w:p>
          <w:p>
            <w:pPr>
              <w:widowControl/>
              <w:jc w:val="left"/>
              <w:rPr>
                <w:rFonts w:hint="eastAsia" w:ascii="宋体" w:hAnsi="宋体" w:cs="宋体" w:eastAsiaTheme="minorEastAsia"/>
                <w:b/>
                <w:color w:val="000000" w:themeColor="text1"/>
                <w:kern w:val="0"/>
                <w:szCs w:val="21"/>
                <w14:textFill>
                  <w14:solidFill>
                    <w14:schemeClr w14:val="tx1"/>
                  </w14:solidFill>
                </w14:textFill>
              </w:rPr>
            </w:pPr>
          </w:p>
          <w:p>
            <w:pPr>
              <w:widowControl/>
              <w:jc w:val="left"/>
              <w:rPr>
                <w:rFonts w:hint="eastAsia" w:ascii="宋体" w:hAnsi="宋体" w:cs="宋体" w:eastAsiaTheme="minorEastAsia"/>
                <w:b/>
                <w:color w:val="000000" w:themeColor="text1"/>
                <w:kern w:val="0"/>
                <w:szCs w:val="21"/>
                <w14:textFill>
                  <w14:solidFill>
                    <w14:schemeClr w14:val="tx1"/>
                  </w14:solidFill>
                </w14:textFill>
              </w:rPr>
            </w:pPr>
          </w:p>
          <w:p>
            <w:pPr>
              <w:widowControl/>
              <w:jc w:val="left"/>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1</w:t>
            </w:r>
          </w:p>
        </w:tc>
        <w:tc>
          <w:tcPr>
            <w:tcW w:w="1276" w:type="dxa"/>
            <w:vMerge w:val="restart"/>
          </w:tcPr>
          <w:p>
            <w:pPr>
              <w:widowControl/>
              <w:jc w:val="left"/>
              <w:rPr>
                <w:rFonts w:ascii="宋体" w:hAnsi="宋体" w:cs="宋体" w:eastAsiaTheme="minorEastAsia"/>
                <w:color w:val="000000" w:themeColor="text1"/>
                <w:szCs w:val="21"/>
                <w14:textFill>
                  <w14:solidFill>
                    <w14:schemeClr w14:val="tx1"/>
                  </w14:solidFill>
                </w14:textFill>
              </w:rPr>
            </w:pPr>
          </w:p>
          <w:p>
            <w:pPr>
              <w:widowControl/>
              <w:jc w:val="left"/>
              <w:rPr>
                <w:rFonts w:ascii="宋体" w:hAnsi="宋体" w:cs="宋体" w:eastAsiaTheme="minorEastAsia"/>
                <w:color w:val="000000" w:themeColor="text1"/>
                <w:szCs w:val="21"/>
                <w14:textFill>
                  <w14:solidFill>
                    <w14:schemeClr w14:val="tx1"/>
                  </w14:solidFill>
                </w14:textFill>
              </w:rPr>
            </w:pPr>
          </w:p>
          <w:p>
            <w:pPr>
              <w:widowControl/>
              <w:jc w:val="left"/>
              <w:rPr>
                <w:rFonts w:ascii="宋体" w:hAnsi="宋体" w:cs="宋体" w:eastAsiaTheme="minorEastAsia"/>
                <w:color w:val="000000" w:themeColor="text1"/>
                <w:szCs w:val="21"/>
                <w14:textFill>
                  <w14:solidFill>
                    <w14:schemeClr w14:val="tx1"/>
                  </w14:solidFill>
                </w14:textFill>
              </w:rPr>
            </w:pPr>
          </w:p>
          <w:p>
            <w:pPr>
              <w:widowControl/>
              <w:jc w:val="left"/>
              <w:rPr>
                <w:rFonts w:ascii="宋体" w:hAnsi="宋体" w:cs="宋体" w:eastAsiaTheme="minorEastAsia"/>
                <w:color w:val="000000" w:themeColor="text1"/>
                <w:szCs w:val="21"/>
                <w14:textFill>
                  <w14:solidFill>
                    <w14:schemeClr w14:val="tx1"/>
                  </w14:solidFill>
                </w14:textFill>
              </w:rPr>
            </w:pPr>
          </w:p>
          <w:p>
            <w:pPr>
              <w:widowControl/>
              <w:jc w:val="left"/>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eastAsiaTheme="minorEastAsia"/>
                <w:color w:val="000000" w:themeColor="text1"/>
                <w:kern w:val="0"/>
                <w:szCs w:val="21"/>
                <w14:textFill>
                  <w14:solidFill>
                    <w14:schemeClr w14:val="tx1"/>
                  </w14:solidFill>
                </w14:textFill>
              </w:rPr>
              <w:t>医用隔离面罩</w:t>
            </w:r>
          </w:p>
        </w:tc>
        <w:tc>
          <w:tcPr>
            <w:tcW w:w="4819" w:type="dxa"/>
            <w:vAlign w:val="center"/>
          </w:tcPr>
          <w:p>
            <w:pPr>
              <w:widowControl/>
              <w:jc w:val="both"/>
              <w:rPr>
                <w:rFonts w:ascii="宋体" w:hAnsi="宋体" w:cs="宋体" w:eastAsiaTheme="minorEastAsia"/>
                <w:szCs w:val="21"/>
              </w:rPr>
            </w:pPr>
            <w:r>
              <w:rPr>
                <w:rFonts w:hint="eastAsia" w:ascii="宋体" w:hAnsi="宋体" w:cs="宋体" w:eastAsiaTheme="minorEastAsia"/>
                <w:szCs w:val="21"/>
                <w:lang w:val="en-US" w:eastAsia="zh-CN"/>
              </w:rPr>
              <w:t>▲1.1、表面光滑、无折痕、无毛刺、无锐角或可能引起眼面部不舒适感的其他缺陷；应具有良好的通透性；可调零件或结构部件应易于调节和替换。</w:t>
            </w:r>
          </w:p>
        </w:tc>
        <w:tc>
          <w:tcPr>
            <w:tcW w:w="1276" w:type="dxa"/>
            <w:vMerge w:val="restart"/>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ascii="宋体" w:hAnsi="宋体" w:cs="宋体" w:eastAsiaTheme="minorEastAsia"/>
                <w:szCs w:val="21"/>
              </w:rPr>
            </w:pPr>
            <w:r>
              <w:rPr>
                <w:rFonts w:hint="eastAsia" w:ascii="宋体" w:hAnsi="宋体" w:cs="宋体" w:eastAsiaTheme="minorEastAsia"/>
                <w:szCs w:val="21"/>
                <w:lang w:val="en-US" w:eastAsia="zh-CN"/>
              </w:rPr>
              <w:t>▲1.2、头带：在不加外力条件下，起主要固定作用的头带与佩戴者接触处的宽度不小于10mm。头带应能调节，选用的材料应质地柔软，经久耐用。</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ascii="宋体" w:hAnsi="宋体" w:cs="宋体" w:eastAsiaTheme="minorEastAsia"/>
                <w:szCs w:val="21"/>
              </w:rPr>
            </w:pPr>
            <w:r>
              <w:rPr>
                <w:rFonts w:hint="eastAsia" w:ascii="宋体" w:hAnsi="宋体" w:cs="宋体" w:eastAsiaTheme="minorEastAsia"/>
                <w:szCs w:val="21"/>
                <w:lang w:val="en-US" w:eastAsia="zh-CN"/>
              </w:rPr>
              <w:t>▲1.3、按照GB/T 32166.2-2015中规定的方法进行试验，应符合下述要求：球镜度误差绝对值≤±0.06m</w:t>
            </w:r>
            <w:r>
              <w:rPr>
                <w:rFonts w:hint="eastAsia" w:ascii="宋体" w:hAnsi="宋体" w:cs="宋体" w:eastAsiaTheme="minorEastAsia"/>
                <w:szCs w:val="21"/>
                <w:vertAlign w:val="superscript"/>
                <w:lang w:val="en-US" w:eastAsia="zh-CN"/>
              </w:rPr>
              <w:t>-1</w:t>
            </w:r>
            <w:r>
              <w:rPr>
                <w:rFonts w:hint="eastAsia" w:ascii="宋体" w:hAnsi="宋体" w:cs="宋体" w:eastAsiaTheme="minorEastAsia"/>
                <w:szCs w:val="21"/>
                <w:lang w:val="en-US" w:eastAsia="zh-CN"/>
              </w:rPr>
              <w:t>；柱镜度误差绝对值≤0.06m</w:t>
            </w:r>
            <w:r>
              <w:rPr>
                <w:rFonts w:hint="eastAsia" w:ascii="宋体" w:hAnsi="宋体" w:cs="宋体" w:eastAsiaTheme="minorEastAsia"/>
                <w:szCs w:val="21"/>
                <w:vertAlign w:val="superscript"/>
                <w:lang w:val="en-US" w:eastAsia="zh-CN"/>
              </w:rPr>
              <w:t>-1</w:t>
            </w:r>
            <w:r>
              <w:rPr>
                <w:rFonts w:hint="eastAsia" w:ascii="宋体" w:hAnsi="宋体" w:cs="宋体" w:eastAsiaTheme="minorEastAsia"/>
                <w:szCs w:val="21"/>
                <w:lang w:val="en-US" w:eastAsia="zh-CN"/>
              </w:rPr>
              <w:t>。</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ascii="宋体" w:hAnsi="宋体" w:cs="宋体" w:eastAsiaTheme="minorEastAsia"/>
                <w:kern w:val="0"/>
                <w:szCs w:val="21"/>
              </w:rPr>
            </w:pPr>
            <w:r>
              <w:rPr>
                <w:rFonts w:hint="eastAsia" w:ascii="宋体" w:hAnsi="宋体" w:cs="宋体" w:eastAsiaTheme="minorEastAsia"/>
                <w:szCs w:val="21"/>
                <w:lang w:val="en-US" w:eastAsia="zh-CN"/>
              </w:rPr>
              <w:t>1.4、可见光透射比：按照GB/T 32166.2-2015中规定的方法进行试验，在参考点处的可见光透射比不小于85%。</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ascii="宋体" w:hAnsi="宋体" w:cs="宋体" w:eastAsiaTheme="minorEastAsia"/>
                <w:szCs w:val="21"/>
              </w:rPr>
            </w:pPr>
            <w:r>
              <w:rPr>
                <w:rFonts w:hint="eastAsia" w:ascii="宋体" w:hAnsi="宋体" w:cs="宋体" w:eastAsiaTheme="minorEastAsia"/>
                <w:szCs w:val="21"/>
                <w:lang w:val="en-US" w:eastAsia="zh-CN"/>
              </w:rPr>
              <w:t>▲1.5、耐热性能：按照GB/T 32166.2-2015中规定的方法进行试验，试验后的样品不应变形、脱落或出现破损现象。</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1.6、面罩应具有抗紫外线老化和抗腐蚀性。</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▲1.7、防雾性能：按照GB/T 32166.2-2015中规定的方法进行试验，面罩至少在8S内不起雾。</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1.8、阻燃性：按照GB/T 32166.2-2015中规定的方法进行试验，移除钢棒后样品应不再继续燃烧。</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bl>
    <w:p>
      <w:pPr>
        <w:pStyle w:val="3"/>
        <w:spacing w:before="120" w:beforeLines="50" w:after="120" w:afterLines="50"/>
        <w:jc w:val="both"/>
        <w:rPr>
          <w:rFonts w:hint="eastAsia" w:cs="宋体"/>
          <w:color w:val="000000" w:themeColor="text1"/>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注：★要求提供产品注册检验报告的全部内容复印件作为技术参数的证明材料</w:t>
      </w: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四、分项报价清单</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项目报价表</w:t>
      </w:r>
    </w:p>
    <w:tbl>
      <w:tblPr>
        <w:tblStyle w:val="8"/>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阳光平台编码</w:t>
            </w:r>
          </w:p>
        </w:tc>
        <w:tc>
          <w:tcPr>
            <w:tcW w:w="8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产品注册证号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原产地/品牌</w:t>
            </w:r>
          </w:p>
        </w:tc>
        <w:tc>
          <w:tcPr>
            <w:tcW w:w="141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生产企业</w:t>
            </w:r>
          </w:p>
        </w:tc>
        <w:tc>
          <w:tcPr>
            <w:tcW w:w="70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包装规格</w:t>
            </w:r>
          </w:p>
        </w:tc>
        <w:tc>
          <w:tcPr>
            <w:tcW w:w="82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*注：1、如投标产品在深圳阳光平台目录内，则投标价格不得高于深圳阳光平台参考限价，否则投标无效。2、投标人所报单价需保证为深圳地区最低价。</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使用产品的医院名单（附清晰的发票复印件）</w:t>
      </w:r>
    </w:p>
    <w:tbl>
      <w:tblPr>
        <w:tblStyle w:val="8"/>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规格及型号</w:t>
            </w:r>
          </w:p>
        </w:tc>
        <w:tc>
          <w:tcPr>
            <w:tcW w:w="141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省份+城市</w:t>
            </w:r>
          </w:p>
        </w:tc>
        <w:tc>
          <w:tcPr>
            <w:tcW w:w="234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医院名称</w:t>
            </w:r>
          </w:p>
        </w:tc>
        <w:tc>
          <w:tcPr>
            <w:tcW w:w="178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医院级别</w:t>
            </w:r>
          </w:p>
        </w:tc>
        <w:tc>
          <w:tcPr>
            <w:tcW w:w="133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发票日期</w:t>
            </w:r>
          </w:p>
        </w:tc>
        <w:tc>
          <w:tcPr>
            <w:tcW w:w="1180"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1、如空格不够填写可自行添加，请勿删除表格内容；</w:t>
      </w:r>
    </w:p>
    <w:p>
      <w:pPr>
        <w:tabs>
          <w:tab w:val="left" w:pos="312"/>
        </w:tabs>
        <w:ind w:firstLine="525" w:firstLineChars="25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2、所提供的发票不限于贵司，需近一年内发票，优先考虑深圳市内，其次省内外；</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供应商认为需要涉及的其他内容报价清单（不改变格式，可添加）。</w:t>
      </w:r>
    </w:p>
    <w:p>
      <w:pPr>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配送时效（</w:t>
      </w:r>
      <w:r>
        <w:rPr>
          <w:rFonts w:hint="eastAsia" w:ascii="宋体" w:hAnsi="宋体" w:cs="宋体"/>
          <w:color w:val="000000" w:themeColor="text1"/>
          <w:sz w:val="24"/>
          <w14:textFill>
            <w14:solidFill>
              <w14:schemeClr w14:val="tx1"/>
            </w14:solidFill>
          </w14:textFill>
        </w:rPr>
        <w:t>请打“√”</w:t>
      </w:r>
      <w:r>
        <w:rPr>
          <w:rFonts w:hint="eastAsia" w:ascii="宋体" w:hAnsi="宋体" w:cs="宋体"/>
          <w:b/>
          <w:color w:val="000000" w:themeColor="text1"/>
          <w:sz w:val="24"/>
          <w14:textFill>
            <w14:solidFill>
              <w14:schemeClr w14:val="tx1"/>
            </w14:solidFill>
          </w14:textFill>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当天</w:t>
            </w:r>
          </w:p>
        </w:tc>
        <w:tc>
          <w:tcPr>
            <w:tcW w:w="1843"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3个工作日</w:t>
            </w:r>
          </w:p>
        </w:tc>
        <w:tc>
          <w:tcPr>
            <w:tcW w:w="198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1周内</w:t>
            </w:r>
          </w:p>
        </w:tc>
        <w:tc>
          <w:tcPr>
            <w:tcW w:w="198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1-2周内</w:t>
            </w:r>
          </w:p>
        </w:tc>
        <w:tc>
          <w:tcPr>
            <w:tcW w:w="182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21"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五、商务需求</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目录</w:t>
            </w:r>
          </w:p>
        </w:tc>
        <w:tc>
          <w:tcPr>
            <w:tcW w:w="548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5484"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rPr>
              <w:t>2</w:t>
            </w:r>
            <w:r>
              <w:rPr>
                <w:rFonts w:ascii="宋体" w:hAnsi="宋体" w:cs="宋体"/>
                <w:szCs w:val="21"/>
              </w:rPr>
              <w:t>.1</w:t>
            </w:r>
            <w:r>
              <w:rPr>
                <w:rFonts w:hint="eastAsia" w:ascii="宋体" w:hAnsi="宋体" w:cs="宋体"/>
                <w:color w:val="000000" w:themeColor="text1"/>
                <w:szCs w:val="21"/>
                <w14:textFill>
                  <w14:solidFill>
                    <w14:schemeClr w14:val="tx1"/>
                  </w14:solidFill>
                </w14:textFill>
              </w:rPr>
              <w:t>供方提供的货物如两个批次出现质量问题或不能按时交货或其它违反本合同约定情形等情况，需方有权单方终止本合同。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5484" w:type="dxa"/>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w:t>
            </w:r>
            <w:r>
              <w:rPr>
                <w:rFonts w:hint="eastAsia" w:ascii="宋体" w:hAnsi="宋体" w:cs="宋体"/>
                <w:bCs/>
                <w:color w:val="000000" w:themeColor="text1"/>
                <w:szCs w:val="21"/>
                <w14:textFill>
                  <w14:solidFill>
                    <w14:schemeClr w14:val="tx1"/>
                  </w14:solidFill>
                </w14:textFill>
              </w:rPr>
              <w:t>方</w:t>
            </w:r>
            <w:r>
              <w:rPr>
                <w:rFonts w:hint="eastAsia" w:ascii="宋体" w:hAnsi="宋体" w:cs="宋体"/>
                <w:color w:val="000000" w:themeColor="text1"/>
                <w:szCs w:val="21"/>
                <w14:textFill>
                  <w14:solidFill>
                    <w14:schemeClr w14:val="tx1"/>
                  </w14:solidFill>
                </w14:textFill>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手术中需要使用的材料，一般医用耗材、急（抢）救医用耗材等，在接到通知24小时内送货到指定地点，应急情况下，3小时内供货至指定地点，节假日照常配送</w:t>
            </w:r>
            <w:r>
              <w:rPr>
                <w:rFonts w:hint="eastAsia" w:ascii="宋体" w:hAnsi="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5484" w:type="dxa"/>
          </w:tcPr>
          <w:p>
            <w:pPr>
              <w:spacing w:line="3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供方</w:t>
            </w:r>
            <w:r>
              <w:rPr>
                <w:rFonts w:hint="eastAsia" w:ascii="宋体" w:hAnsi="宋体" w:cs="宋体"/>
                <w:bCs/>
                <w:color w:val="000000" w:themeColor="text1"/>
                <w:szCs w:val="21"/>
                <w14:textFill>
                  <w14:solidFill>
                    <w14:schemeClr w14:val="tx1"/>
                  </w14:solidFill>
                </w14:textFill>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3.1全额发票与货同行，货到验收合格后三个月内支付全部货款；</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3.3如发票不能与货同行，必须在当月25日前补交，逾期不交，则货款不予以支付。</w:t>
            </w:r>
          </w:p>
        </w:tc>
      </w:tr>
    </w:tbl>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六、评标方法：综合评标法（总分100分）</w:t>
      </w:r>
    </w:p>
    <w:p>
      <w:pPr>
        <w:ind w:left="92" w:leftChars="44"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ind w:left="92" w:leftChars="44" w:firstLine="420" w:firstLineChars="200"/>
        <w:rPr>
          <w:rFonts w:ascii="宋体" w:hAnsi="宋体" w:cs="宋体"/>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七、评标委员会人数为5人及以上（单数），评标时取总分计算排名；</w:t>
      </w:r>
    </w:p>
    <w:tbl>
      <w:tblPr>
        <w:tblStyle w:val="8"/>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评分项</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评分因素</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42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价格部分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7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产品响应情况</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评标委员会根据《技术参数响应及明细表》响应情况进行打分，全部满足的得20分，一般参数负偏离一项扣</w:t>
            </w:r>
            <w:r>
              <w:rPr>
                <w:rFonts w:ascii="宋体" w:hAnsi="宋体" w:cs="宋体"/>
                <w:szCs w:val="21"/>
              </w:rPr>
              <w:t>2</w:t>
            </w:r>
            <w:r>
              <w:rPr>
                <w:rFonts w:hint="eastAsia" w:ascii="宋体" w:hAnsi="宋体" w:cs="宋体"/>
                <w:szCs w:val="21"/>
              </w:rPr>
              <w:t>分，重点技术参数▲项负偏离一项扣</w:t>
            </w:r>
            <w:r>
              <w:rPr>
                <w:rFonts w:hint="eastAsia" w:ascii="宋体" w:hAnsi="宋体" w:cs="宋体"/>
                <w:szCs w:val="21"/>
                <w:lang w:val="en-US" w:eastAsia="zh-CN"/>
              </w:rPr>
              <w:t>3</w:t>
            </w:r>
            <w:r>
              <w:rPr>
                <w:rFonts w:hint="eastAsia" w:ascii="宋体" w:hAnsi="宋体" w:cs="宋体"/>
                <w:szCs w:val="21"/>
              </w:rPr>
              <w:t>分，扣完为止。</w:t>
            </w:r>
          </w:p>
          <w:p>
            <w:pPr>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应如实填写所投产品的具体参数，如虚假应标，取消中标资格，限制五年内不得参加医院招投标。</w:t>
            </w:r>
            <w:r>
              <w:rPr>
                <w:rFonts w:hint="eastAsia" w:ascii="宋体" w:hAnsi="宋体" w:cs="宋体"/>
                <w:color w:val="000000" w:themeColor="text1"/>
                <w:szCs w:val="21"/>
                <w14:textFill>
                  <w14:solidFill>
                    <w14:schemeClr w14:val="tx1"/>
                  </w14:solidFill>
                </w14:textFill>
              </w:rPr>
              <w:t>如要求提供以下证明资料的，提供的证明资料与所填写内容不一致的，以证明资料为准，原件备查。</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1.产品彩页；</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2.说明书；</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3.厂家出具的参数文件；</w:t>
            </w:r>
          </w:p>
          <w:p>
            <w:pPr>
              <w:ind w:left="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★4.产品注册检验报告的全部内容复印件（此项必须提供，否则投标无效）。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5"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现场实物考评</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投标产品质量和性能</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widowControl/>
              <w:ind w:firstLine="420" w:firstLineChars="200"/>
              <w:jc w:val="left"/>
              <w:rPr>
                <w:rFonts w:asciiTheme="minorHAnsi" w:hAnsiTheme="minorHAnsi" w:eastAsiaTheme="minorEastAsia" w:cstheme="minorBidi"/>
              </w:rPr>
            </w:pPr>
            <w:r>
              <w:rPr>
                <w:rFonts w:asciiTheme="minorHAnsi" w:hAnsiTheme="minorHAnsi" w:eastAsiaTheme="minorEastAsia" w:cstheme="minorBidi"/>
              </w:rPr>
              <w:t>根据所投样品的</w:t>
            </w:r>
            <w:r>
              <w:rPr>
                <w:rFonts w:hint="eastAsia" w:asciiTheme="minorHAnsi" w:hAnsiTheme="minorHAnsi" w:eastAsiaTheme="minorEastAsia" w:cstheme="minorBidi"/>
              </w:rPr>
              <w:t>舒适度</w:t>
            </w:r>
            <w:r>
              <w:rPr>
                <w:rFonts w:asciiTheme="minorHAnsi" w:hAnsiTheme="minorHAnsi" w:eastAsiaTheme="minorEastAsia" w:cstheme="minorBidi"/>
              </w:rPr>
              <w:t>、可靠性、安全性、有效性：（</w:t>
            </w:r>
            <w:r>
              <w:rPr>
                <w:rFonts w:hint="eastAsia" w:asciiTheme="minorHAnsi" w:hAnsiTheme="minorHAnsi" w:eastAsiaTheme="minorEastAsia" w:cstheme="minorBidi"/>
              </w:rPr>
              <w:t>1</w:t>
            </w:r>
            <w:r>
              <w:rPr>
                <w:rFonts w:asciiTheme="minorHAnsi" w:hAnsiTheme="minorHAnsi" w:eastAsiaTheme="minorEastAsia" w:cstheme="minorBidi"/>
              </w:rPr>
              <w:t>）</w:t>
            </w:r>
            <w:r>
              <w:rPr>
                <w:rFonts w:hint="eastAsia" w:asciiTheme="minorHAnsi" w:hAnsiTheme="minorHAnsi" w:eastAsiaTheme="minorEastAsia" w:cstheme="minorBidi"/>
                <w:lang w:val="en-US" w:eastAsia="zh-CN"/>
              </w:rPr>
              <w:t>表面光滑、无折痕、无毛刺、无锐角或可能引起眼面部不舒适感的其他缺陷；应具有良好的通透性；可调零件或结构部件应易于调节和替换。</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2</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在不加外力条件下，起主要固定作用的头带与佩戴者接触处的宽度不小于10mm。头带应能调节，选用的材料应质地柔软，经久耐用。</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3</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按照GB/T 32166.2-2015中规定的方法进行试验，应符合下述要求：球镜度误差绝对值≤±0.06m</w:t>
            </w:r>
            <w:r>
              <w:rPr>
                <w:rFonts w:hint="eastAsia" w:ascii="宋体" w:hAnsi="宋体" w:cs="宋体" w:eastAsiaTheme="minorEastAsia"/>
                <w:szCs w:val="21"/>
                <w:vertAlign w:val="superscript"/>
                <w:lang w:val="en-US" w:eastAsia="zh-CN"/>
              </w:rPr>
              <w:t>-1</w:t>
            </w:r>
            <w:r>
              <w:rPr>
                <w:rFonts w:hint="eastAsia" w:ascii="宋体" w:hAnsi="宋体" w:cs="宋体" w:eastAsiaTheme="minorEastAsia"/>
                <w:szCs w:val="21"/>
                <w:lang w:val="en-US" w:eastAsia="zh-CN"/>
              </w:rPr>
              <w:t>；柱镜度误差绝对值≤0.06m</w:t>
            </w:r>
            <w:r>
              <w:rPr>
                <w:rFonts w:hint="eastAsia" w:ascii="宋体" w:hAnsi="宋体" w:cs="宋体" w:eastAsiaTheme="minorEastAsia"/>
                <w:szCs w:val="21"/>
                <w:vertAlign w:val="superscript"/>
                <w:lang w:val="en-US" w:eastAsia="zh-CN"/>
              </w:rPr>
              <w:t>-1</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4</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按照GB/T 32166.2-2015中规定的方法进行试验，面罩至少在8S内不起雾。</w:t>
            </w:r>
            <w:r>
              <w:rPr>
                <w:rFonts w:asciiTheme="minorHAnsi" w:hAnsiTheme="minorHAnsi" w:eastAsiaTheme="minorEastAsia" w:cstheme="minorBidi"/>
              </w:rPr>
              <w:t>由评审委员会评委</w:t>
            </w:r>
            <w:r>
              <w:rPr>
                <w:rFonts w:hint="eastAsia" w:asciiTheme="minorHAnsi" w:hAnsiTheme="minorHAnsi" w:eastAsiaTheme="minorEastAsia" w:cstheme="minorBidi"/>
              </w:rPr>
              <w:t>（必要时由医院委托具有资质的第三方进行检测）</w:t>
            </w:r>
            <w:r>
              <w:rPr>
                <w:rFonts w:asciiTheme="minorHAnsi" w:hAnsiTheme="minorHAnsi" w:eastAsiaTheme="minorEastAsia" w:cstheme="minorBidi"/>
              </w:rPr>
              <w:t>对所投样品进行评价：</w:t>
            </w:r>
          </w:p>
          <w:p>
            <w:pPr>
              <w:widowControl/>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优评审标准：满足以上全部评分要求的得22-30分；</w:t>
            </w:r>
          </w:p>
          <w:p>
            <w:pPr>
              <w:widowControl/>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良评审标准：满足以上任意3项评分要求的得14-21分；</w:t>
            </w:r>
          </w:p>
          <w:p>
            <w:pPr>
              <w:widowControl/>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中评审标准：满足以上任意2项评分要求的得6-13分；</w:t>
            </w:r>
          </w:p>
          <w:p>
            <w:pPr>
              <w:widowControl/>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差评审标准：满足以上任意1项评分要求的得0-5分；</w:t>
            </w:r>
          </w:p>
          <w:p>
            <w:pPr>
              <w:ind w:firstLine="420" w:firstLineChars="200"/>
              <w:rPr>
                <w:rFonts w:asciiTheme="minorHAnsi" w:hAnsiTheme="minorHAnsi" w:eastAsiaTheme="minorEastAsia" w:cstheme="minorBidi"/>
                <w:b/>
                <w:bCs/>
                <w:sz w:val="24"/>
              </w:rPr>
            </w:pPr>
            <w:r>
              <w:rPr>
                <w:rFonts w:hint="eastAsia" w:ascii="宋体" w:hAnsi="宋体" w:cs="宋体" w:eastAsiaTheme="minorEastAsia"/>
                <w:color w:val="000000" w:themeColor="text1"/>
                <w:szCs w:val="21"/>
                <w14:textFill>
                  <w14:solidFill>
                    <w14:schemeClr w14:val="tx1"/>
                  </w14:solidFill>
                </w14:textFill>
              </w:rPr>
              <w:t>未提供样品或提供的样品不符合招标文件要求的不得分。</w:t>
            </w:r>
          </w:p>
          <w:p>
            <w:pPr>
              <w:ind w:firstLine="420" w:firstLineChars="200"/>
              <w:rPr>
                <w:rFonts w:hAnsi="宋体" w:cs="宋体"/>
                <w:color w:val="FF0000"/>
                <w:sz w:val="21"/>
                <w:szCs w:val="21"/>
              </w:rPr>
            </w:pPr>
            <w:r>
              <w:rPr>
                <w:rFonts w:hint="eastAsia" w:asciiTheme="minorHAnsi" w:hAnsiTheme="minorHAnsi" w:eastAsiaTheme="minorEastAsia" w:cstheme="minorBidi"/>
              </w:rPr>
              <w:t>注：要求投标公司提供一箱未拆封样品，由医院评标组成员在评标现场拆封并对样品进行打分，同时医院可以在认为必要时将样品委托具有资质的第三方进行检测，检测费用由投标公司承担。剩余样品由医院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市场承认度</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提供同类项目的发票或合同证明，复印件需加盖公章，同一家医院提供的多个发票或合同证明不作重复计算。</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同时提供医院客户是“三甲”医院的证明材料（在中华人民共和国国家卫生健康委员会网站查询结果的截图，网站链接为：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0"/>
                <w:rFonts w:hint="eastAsia" w:ascii="宋体" w:hAnsi="宋体" w:cs="宋体"/>
                <w:color w:val="000000" w:themeColor="text1"/>
                <w:szCs w:val="21"/>
                <w14:textFill>
                  <w14:solidFill>
                    <w14:schemeClr w14:val="tx1"/>
                  </w14:solidFill>
                </w14:textFill>
              </w:rPr>
              <w:t>http://zgcx.nhc.gov.cn:9090/unit）</w:t>
            </w:r>
            <w:r>
              <w:rPr>
                <w:rStyle w:val="10"/>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不提供截图证明材料的视为医院客户为非“三甲”医院客户，该项目不得分。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“三甲”医院使用情况（近两年内）：</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每提供一家“三甲”医院客户证明材料的，得1分，最高得10分，不提供不得分。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深圳阳光平台目录内产品（10分）</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产品在深圳阳光平台目录内</w:t>
            </w:r>
          </w:p>
        </w:tc>
        <w:tc>
          <w:tcPr>
            <w:tcW w:w="7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提供产品在深圳阳光平台目录内的截图作为证明资料得10分，不提供截图视为不在深圳阳光平台目录内，该项不得分。</w:t>
            </w:r>
          </w:p>
        </w:tc>
      </w:tr>
    </w:tbl>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6"/>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6"/>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A765A"/>
    <w:rsid w:val="037B371D"/>
    <w:rsid w:val="07A70343"/>
    <w:rsid w:val="14167AB6"/>
    <w:rsid w:val="16103587"/>
    <w:rsid w:val="165109FD"/>
    <w:rsid w:val="1A2A15A2"/>
    <w:rsid w:val="27B9574A"/>
    <w:rsid w:val="351B3404"/>
    <w:rsid w:val="3A6804DF"/>
    <w:rsid w:val="3EFF372E"/>
    <w:rsid w:val="43566DE0"/>
    <w:rsid w:val="571039BD"/>
    <w:rsid w:val="5D4F2456"/>
    <w:rsid w:val="60F83D92"/>
    <w:rsid w:val="619C75BF"/>
    <w:rsid w:val="707E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Normal (Web)"/>
    <w:basedOn w:val="1"/>
    <w:qFormat/>
    <w:uiPriority w:val="99"/>
    <w:rPr>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2022-03-15T00:34:00Z</dcterms:created>
  <dc:creator>admin</dc:creator>
  <cp:lastModifiedBy>TIGER</cp:lastModifiedBy>
  <dcterms:modified xsi:type="dcterms:W3CDTF">2022-03-16T06:41:05Z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9865F09F3C0947D5A3AC3CC001AA2523</vt:lpwstr>
  </property>
</Properties>
</file>