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highlight w:val="none"/>
        </w:rPr>
        <w:t>牙科光纤高速涡轮手机</w:t>
      </w:r>
      <w:r>
        <w:rPr>
          <w:rFonts w:hint="eastAsia" w:ascii="宋体" w:hAnsi="宋体" w:cs="宋体"/>
          <w:b/>
          <w:sz w:val="28"/>
          <w:szCs w:val="28"/>
        </w:rPr>
        <w:t>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7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03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2916" w:type="dxa"/>
            <w:vAlign w:val="center"/>
          </w:tcPr>
          <w:p>
            <w:pPr>
              <w:jc w:val="center"/>
              <w:rPr>
                <w:b/>
                <w:bCs/>
                <w:color w:val="000000" w:themeColor="text1"/>
                <w:szCs w:val="21"/>
                <w14:textFill>
                  <w14:solidFill>
                    <w14:schemeClr w14:val="tx1"/>
                  </w14:solidFill>
                </w14:textFill>
              </w:rPr>
            </w:pPr>
            <w:r>
              <w:rPr>
                <w:rFonts w:hint="eastAsia" w:ascii="宋体" w:hAnsi="宋体" w:cs="宋体"/>
                <w:color w:val="000000"/>
                <w:kern w:val="0"/>
                <w:sz w:val="24"/>
                <w:lang w:bidi="ar"/>
              </w:rPr>
              <w:t>牙科光纤高速涡轮手机</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支</w:t>
            </w:r>
          </w:p>
        </w:tc>
        <w:tc>
          <w:tcPr>
            <w:tcW w:w="203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3.6</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r>
              <w:rPr>
                <w:rFonts w:hint="eastAsia" w:ascii="宋体" w:hAnsi="宋体"/>
                <w:b/>
                <w:kern w:val="0"/>
                <w:szCs w:val="21"/>
              </w:rPr>
              <w:t>1</w:t>
            </w:r>
          </w:p>
        </w:tc>
        <w:tc>
          <w:tcPr>
            <w:tcW w:w="1276" w:type="dxa"/>
            <w:vMerge w:val="restart"/>
          </w:tcPr>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r>
              <w:rPr>
                <w:rFonts w:hint="eastAsia" w:ascii="宋体" w:hAnsi="宋体" w:cs="宋体"/>
                <w:color w:val="000000"/>
                <w:kern w:val="0"/>
                <w:sz w:val="24"/>
                <w:lang w:bidi="ar"/>
              </w:rPr>
              <w:t>牙科光纤高速涡轮手机</w:t>
            </w:r>
          </w:p>
        </w:tc>
        <w:tc>
          <w:tcPr>
            <w:tcW w:w="4819" w:type="dxa"/>
          </w:tcPr>
          <w:p>
            <w:pPr>
              <w:rPr>
                <w:rFonts w:ascii="宋体" w:hAnsi="宋体"/>
                <w:kern w:val="0"/>
                <w:szCs w:val="21"/>
              </w:rPr>
            </w:pPr>
            <w:r>
              <w:rPr>
                <w:rFonts w:hint="eastAsia" w:ascii="宋体" w:hAnsi="宋体"/>
                <w:sz w:val="24"/>
              </w:rPr>
              <w:t xml:space="preserve"> </w:t>
            </w:r>
            <w:r>
              <w:rPr>
                <w:rFonts w:hint="eastAsia" w:ascii="宋体" w:hAnsi="宋体"/>
                <w:sz w:val="24"/>
                <w:lang w:val="en-US" w:eastAsia="zh-CN"/>
              </w:rPr>
              <w:t>1</w:t>
            </w:r>
            <w:r>
              <w:rPr>
                <w:rFonts w:hint="eastAsia"/>
                <w:sz w:val="24"/>
              </w:rPr>
              <w:t>转速（rpm)≥370000-400000转，驱动压力（bar)2.7-3.0</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头部直径≤10.2mm，头部高度≤12.7mm</w:t>
            </w:r>
            <w:r>
              <w:rPr>
                <w:rFonts w:ascii="宋体" w:hAnsi="宋体" w:cs="宋体"/>
                <w:sz w:val="24"/>
              </w:rPr>
              <w:t>,</w:t>
            </w:r>
            <w:r>
              <w:rPr>
                <w:rFonts w:hint="eastAsia" w:ascii="宋体" w:hAnsi="宋体" w:cs="宋体"/>
                <w:sz w:val="24"/>
              </w:rPr>
              <w:t>照</w:t>
            </w:r>
            <w:r>
              <w:rPr>
                <w:rFonts w:ascii="宋体" w:hAnsi="宋体" w:cs="宋体"/>
                <w:sz w:val="24"/>
              </w:rPr>
              <w:t>明亮度</w:t>
            </w:r>
            <w:r>
              <w:rPr>
                <w:rFonts w:hint="eastAsia" w:ascii="宋体" w:hAnsi="宋体" w:cs="宋体"/>
                <w:sz w:val="24"/>
              </w:rPr>
              <w:t>（LUX</w:t>
            </w:r>
            <w:r>
              <w:rPr>
                <w:rFonts w:ascii="宋体" w:hAnsi="宋体" w:cs="宋体"/>
                <w:sz w:val="24"/>
              </w:rPr>
              <w:t>）</w:t>
            </w:r>
            <w:r>
              <w:rPr>
                <w:rFonts w:hint="eastAsia" w:ascii="宋体" w:hAnsi="宋体" w:cs="宋体"/>
                <w:sz w:val="24"/>
              </w:rPr>
              <w:t>≥25000，</w:t>
            </w:r>
            <w:r>
              <w:rPr>
                <w:rFonts w:ascii="宋体" w:hAnsi="宋体" w:cs="宋体"/>
                <w:sz w:val="24"/>
              </w:rPr>
              <w:t>机身重量≤</w:t>
            </w:r>
            <w:r>
              <w:rPr>
                <w:rFonts w:hint="eastAsia" w:ascii="宋体" w:hAnsi="宋体" w:cs="宋体"/>
                <w:sz w:val="24"/>
                <w:lang w:val="en-US" w:eastAsia="zh-CN"/>
              </w:rPr>
              <w:t>60</w:t>
            </w:r>
            <w:r>
              <w:rPr>
                <w:rFonts w:ascii="宋体" w:hAnsi="宋体" w:cs="宋体"/>
                <w:sz w:val="24"/>
              </w:rPr>
              <w:t>G.</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输出功率≥</w:t>
            </w:r>
            <w:r>
              <w:rPr>
                <w:rFonts w:ascii="宋体" w:hAnsi="宋体" w:cs="宋体"/>
                <w:sz w:val="24"/>
              </w:rPr>
              <w:t>20</w:t>
            </w:r>
            <w:r>
              <w:rPr>
                <w:rFonts w:hint="eastAsia" w:ascii="宋体" w:hAnsi="宋体" w:cs="宋体"/>
                <w:sz w:val="24"/>
              </w:rPr>
              <w:t>W</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lang w:val="en-US" w:eastAsia="zh-CN"/>
              </w:rPr>
              <w:t>4</w:t>
            </w:r>
            <w:r>
              <w:rPr>
                <w:rFonts w:hint="eastAsia" w:ascii="宋体" w:hAnsi="宋体" w:cs="宋体"/>
                <w:sz w:val="24"/>
              </w:rPr>
              <w:t>按压式快速更换车针系统，夹持力达30N</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钛金</w:t>
            </w:r>
            <w:r>
              <w:rPr>
                <w:rFonts w:ascii="宋体" w:hAnsi="宋体" w:cs="宋体"/>
                <w:sz w:val="24"/>
              </w:rPr>
              <w:t>镀膜机身</w:t>
            </w:r>
            <w:r>
              <w:rPr>
                <w:rFonts w:hint="eastAsia" w:ascii="宋体" w:hAnsi="宋体" w:cs="宋体"/>
                <w:sz w:val="24"/>
              </w:rPr>
              <w:t>。</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全瓷材料轴承，</w:t>
            </w:r>
            <w:r>
              <w:rPr>
                <w:rFonts w:hint="eastAsia" w:ascii="宋体" w:hAnsi="宋体" w:cs="宋体"/>
                <w:sz w:val="24"/>
                <w:lang w:val="en-US" w:eastAsia="zh-CN"/>
              </w:rPr>
              <w:t>抗磨损</w:t>
            </w:r>
            <w:r>
              <w:rPr>
                <w:rFonts w:hint="eastAsia" w:ascii="宋体" w:hAnsi="宋体" w:cs="宋体"/>
                <w:sz w:val="24"/>
              </w:rPr>
              <w:t>，振动</w:t>
            </w:r>
            <w:r>
              <w:rPr>
                <w:rFonts w:hint="eastAsia" w:ascii="宋体" w:hAnsi="宋体" w:cs="宋体"/>
                <w:sz w:val="24"/>
                <w:lang w:val="en-US" w:eastAsia="zh-CN"/>
              </w:rPr>
              <w:t>幅度</w:t>
            </w:r>
            <w:r>
              <w:rPr>
                <w:rFonts w:hint="eastAsia" w:ascii="宋体" w:hAnsi="宋体" w:cs="宋体"/>
                <w:sz w:val="24"/>
              </w:rPr>
              <w:t>小，</w:t>
            </w:r>
            <w:r>
              <w:rPr>
                <w:rFonts w:hint="eastAsia" w:ascii="宋体" w:hAnsi="宋体" w:cs="宋体"/>
                <w:sz w:val="24"/>
                <w:lang w:val="en-US" w:eastAsia="zh-CN"/>
              </w:rPr>
              <w:t>性能稳定</w:t>
            </w:r>
            <w:r>
              <w:rPr>
                <w:rFonts w:hint="eastAsia" w:ascii="宋体" w:hAnsi="宋体" w:cs="宋体"/>
                <w:sz w:val="24"/>
              </w:rPr>
              <w:t>。</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lang w:val="en-US" w:eastAsia="zh-CN"/>
              </w:rPr>
              <w:t>7可实现多孔</w:t>
            </w:r>
            <w:r>
              <w:rPr>
                <w:rFonts w:hint="eastAsia" w:ascii="宋体" w:hAnsi="宋体" w:cs="宋体"/>
                <w:sz w:val="24"/>
              </w:rPr>
              <w:t>喷水</w:t>
            </w:r>
            <w:r>
              <w:rPr>
                <w:rFonts w:hint="eastAsia" w:ascii="宋体" w:hAnsi="宋体" w:cs="宋体"/>
                <w:sz w:val="24"/>
                <w:lang w:val="en-US" w:eastAsia="zh-CN"/>
              </w:rPr>
              <w:t>功能，</w:t>
            </w:r>
            <w:r>
              <w:rPr>
                <w:rFonts w:hint="eastAsia" w:ascii="宋体" w:hAnsi="宋体" w:cs="宋体"/>
                <w:sz w:val="24"/>
              </w:rPr>
              <w:t>产生大量</w:t>
            </w:r>
            <w:r>
              <w:rPr>
                <w:rFonts w:hint="eastAsia" w:ascii="宋体" w:hAnsi="宋体" w:cs="宋体"/>
                <w:sz w:val="24"/>
                <w:lang w:val="en-US" w:eastAsia="zh-CN"/>
              </w:rPr>
              <w:t>水</w:t>
            </w:r>
            <w:r>
              <w:rPr>
                <w:rFonts w:hint="eastAsia" w:ascii="宋体" w:hAnsi="宋体" w:cs="宋体"/>
                <w:sz w:val="24"/>
              </w:rPr>
              <w:t>喷雾</w:t>
            </w:r>
            <w:r>
              <w:rPr>
                <w:rFonts w:hint="eastAsia" w:ascii="宋体" w:hAnsi="宋体" w:cs="宋体"/>
                <w:sz w:val="24"/>
                <w:lang w:val="en-US" w:eastAsia="zh-CN"/>
              </w:rPr>
              <w:t>提升</w:t>
            </w:r>
            <w:r>
              <w:rPr>
                <w:rFonts w:hint="eastAsia" w:ascii="宋体" w:hAnsi="宋体" w:cs="宋体"/>
                <w:sz w:val="24"/>
              </w:rPr>
              <w:t>冷却效果</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lang w:val="en-US" w:eastAsia="zh-CN"/>
              </w:rPr>
              <w:t>8</w:t>
            </w:r>
            <w:r>
              <w:rPr>
                <w:rFonts w:hint="eastAsia" w:ascii="宋体" w:hAnsi="宋体" w:cs="宋体"/>
                <w:sz w:val="24"/>
              </w:rPr>
              <w:t>大风轮</w:t>
            </w:r>
            <w:r>
              <w:rPr>
                <w:rFonts w:hint="eastAsia" w:ascii="宋体" w:hAnsi="宋体" w:cs="宋体"/>
                <w:sz w:val="24"/>
                <w:lang w:val="en-US" w:eastAsia="zh-CN"/>
              </w:rPr>
              <w:t>可</w:t>
            </w:r>
            <w:r>
              <w:rPr>
                <w:rFonts w:hint="eastAsia" w:ascii="宋体" w:hAnsi="宋体" w:cs="宋体"/>
                <w:sz w:val="24"/>
              </w:rPr>
              <w:t>采用双排叶轮</w:t>
            </w:r>
            <w:r>
              <w:rPr>
                <w:rFonts w:hint="eastAsia" w:ascii="宋体" w:hAnsi="宋体" w:cs="宋体"/>
                <w:sz w:val="24"/>
                <w:lang w:val="en-US" w:eastAsia="zh-CN"/>
              </w:rPr>
              <w:t>等形式</w:t>
            </w:r>
            <w:r>
              <w:rPr>
                <w:rFonts w:hint="eastAsia" w:ascii="宋体" w:hAnsi="宋体" w:cs="宋体"/>
                <w:sz w:val="24"/>
              </w:rPr>
              <w:t>，</w:t>
            </w:r>
            <w:r>
              <w:rPr>
                <w:rFonts w:hint="eastAsia" w:ascii="宋体" w:hAnsi="宋体" w:cs="宋体"/>
                <w:sz w:val="24"/>
                <w:lang w:val="en-US" w:eastAsia="zh-CN"/>
              </w:rPr>
              <w:t>实现</w:t>
            </w:r>
            <w:r>
              <w:rPr>
                <w:rFonts w:hint="eastAsia" w:ascii="宋体" w:hAnsi="宋体" w:cs="宋体"/>
                <w:sz w:val="24"/>
              </w:rPr>
              <w:t>最大扭矩。</w:t>
            </w:r>
            <w:r>
              <w:rPr>
                <w:rFonts w:hint="eastAsia" w:ascii="宋体" w:hAnsi="宋体" w:cs="宋体"/>
                <w:sz w:val="24"/>
                <w:lang w:val="en-US" w:eastAsia="zh-CN"/>
              </w:rPr>
              <w:t>确保</w:t>
            </w:r>
            <w:r>
              <w:rPr>
                <w:rFonts w:hint="eastAsia" w:ascii="宋体" w:hAnsi="宋体" w:cs="宋体"/>
                <w:sz w:val="24"/>
              </w:rPr>
              <w:t>运动</w:t>
            </w:r>
            <w:r>
              <w:rPr>
                <w:rFonts w:hint="eastAsia" w:ascii="宋体" w:hAnsi="宋体" w:cs="宋体"/>
                <w:sz w:val="24"/>
                <w:lang w:val="en-US" w:eastAsia="zh-CN"/>
              </w:rPr>
              <w:t>稳定</w:t>
            </w:r>
            <w:r>
              <w:rPr>
                <w:rFonts w:hint="eastAsia" w:ascii="宋体" w:hAnsi="宋体" w:cs="宋体"/>
                <w:sz w:val="24"/>
              </w:rPr>
              <w:t>，低噪音</w:t>
            </w:r>
            <w:r>
              <w:rPr>
                <w:rFonts w:hint="eastAsia" w:ascii="宋体" w:hAnsi="宋体" w:cs="宋体"/>
                <w:sz w:val="24"/>
                <w:lang w:eastAsia="zh-CN"/>
              </w:rPr>
              <w:t>、</w:t>
            </w:r>
            <w:r>
              <w:rPr>
                <w:rFonts w:hint="eastAsia" w:ascii="宋体" w:hAnsi="宋体" w:cs="宋体"/>
                <w:sz w:val="24"/>
                <w:lang w:val="en-US" w:eastAsia="zh-CN"/>
              </w:rPr>
              <w:t>高精度</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9具有多层</w:t>
            </w:r>
            <w:r>
              <w:rPr>
                <w:rFonts w:hint="eastAsia" w:ascii="宋体" w:hAnsi="宋体" w:cs="宋体"/>
                <w:sz w:val="24"/>
              </w:rPr>
              <w:t>涂层工艺，</w:t>
            </w:r>
            <w:r>
              <w:rPr>
                <w:rFonts w:hint="eastAsia" w:ascii="宋体" w:hAnsi="宋体" w:cs="宋体"/>
                <w:sz w:val="24"/>
                <w:lang w:val="en-US" w:eastAsia="zh-CN"/>
              </w:rPr>
              <w:t>实现</w:t>
            </w:r>
            <w:r>
              <w:rPr>
                <w:rFonts w:hint="eastAsia" w:ascii="宋体" w:hAnsi="宋体" w:cs="宋体"/>
                <w:sz w:val="24"/>
              </w:rPr>
              <w:t>钛金镀</w:t>
            </w:r>
            <w:r>
              <w:rPr>
                <w:rFonts w:ascii="宋体" w:hAnsi="宋体" w:cs="宋体"/>
                <w:sz w:val="24"/>
              </w:rPr>
              <w:t>膜</w:t>
            </w:r>
            <w:r>
              <w:rPr>
                <w:rFonts w:hint="eastAsia" w:ascii="宋体" w:hAnsi="宋体" w:cs="宋体"/>
                <w:sz w:val="24"/>
              </w:rPr>
              <w:t>高硬度</w:t>
            </w:r>
            <w:r>
              <w:rPr>
                <w:rFonts w:hint="eastAsia" w:ascii="宋体" w:hAnsi="宋体" w:cs="宋体"/>
                <w:sz w:val="24"/>
                <w:lang w:eastAsia="zh-CN"/>
              </w:rPr>
              <w:t>，</w:t>
            </w:r>
            <w:r>
              <w:rPr>
                <w:rFonts w:hint="eastAsia" w:ascii="宋体" w:hAnsi="宋体" w:cs="宋体"/>
                <w:sz w:val="24"/>
                <w:lang w:val="en-US" w:eastAsia="zh-CN"/>
              </w:rPr>
              <w:t>避免</w:t>
            </w:r>
            <w:r>
              <w:rPr>
                <w:rFonts w:hint="eastAsia" w:ascii="宋体" w:hAnsi="宋体" w:cs="宋体"/>
                <w:sz w:val="24"/>
              </w:rPr>
              <w:t>手机</w:t>
            </w:r>
            <w:r>
              <w:rPr>
                <w:rFonts w:hint="eastAsia" w:ascii="宋体" w:hAnsi="宋体" w:cs="宋体"/>
                <w:sz w:val="24"/>
                <w:lang w:val="en-US" w:eastAsia="zh-CN"/>
              </w:rPr>
              <w:t>由于</w:t>
            </w:r>
            <w:r>
              <w:rPr>
                <w:rFonts w:hint="eastAsia" w:ascii="宋体" w:hAnsi="宋体" w:cs="宋体"/>
                <w:sz w:val="24"/>
              </w:rPr>
              <w:t>冲击</w:t>
            </w:r>
            <w:r>
              <w:rPr>
                <w:rFonts w:hint="eastAsia" w:ascii="宋体" w:hAnsi="宋体" w:cs="宋体"/>
                <w:sz w:val="24"/>
                <w:lang w:eastAsia="zh-CN"/>
              </w:rPr>
              <w:t>、</w:t>
            </w:r>
            <w:r>
              <w:rPr>
                <w:rFonts w:hint="eastAsia" w:ascii="宋体" w:hAnsi="宋体" w:cs="宋体"/>
                <w:sz w:val="24"/>
              </w:rPr>
              <w:t>刮痕和消毒而产生的破坏</w:t>
            </w:r>
            <w:r>
              <w:rPr>
                <w:rFonts w:hint="eastAsia" w:ascii="宋体" w:hAnsi="宋体" w:cs="宋体"/>
                <w:sz w:val="24"/>
                <w:lang w:val="en-US" w:eastAsia="zh-CN"/>
              </w:rPr>
              <w:t>情况</w:t>
            </w:r>
            <w:r>
              <w:rPr>
                <w:rFonts w:hint="eastAsia" w:ascii="宋体" w:hAnsi="宋体" w:cs="宋体"/>
                <w:sz w:val="24"/>
              </w:rPr>
              <w:t>。</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ascii="宋体" w:hAnsi="宋体" w:cs="宋体"/>
                <w:sz w:val="24"/>
              </w:rPr>
            </w:pPr>
            <w:r>
              <w:rPr>
                <w:rFonts w:hint="eastAsia" w:ascii="宋体" w:hAnsi="宋体" w:cs="宋体"/>
                <w:sz w:val="24"/>
              </w:rPr>
              <w:t>▲</w:t>
            </w:r>
            <w:r>
              <w:rPr>
                <w:rFonts w:hint="eastAsia" w:ascii="宋体" w:hAnsi="宋体" w:cs="宋体"/>
                <w:sz w:val="24"/>
                <w:lang w:val="en-US" w:eastAsia="zh-CN"/>
              </w:rPr>
              <w:t>10机头具有多重</w:t>
            </w:r>
            <w:r>
              <w:rPr>
                <w:rFonts w:hint="eastAsia" w:ascii="宋体" w:hAnsi="宋体" w:cs="宋体"/>
                <w:sz w:val="24"/>
              </w:rPr>
              <w:t>防回吸功能和机身</w:t>
            </w:r>
            <w:r>
              <w:rPr>
                <w:rFonts w:hint="eastAsia" w:ascii="宋体" w:hAnsi="宋体" w:cs="宋体"/>
                <w:sz w:val="24"/>
                <w:lang w:val="en-US" w:eastAsia="zh-CN"/>
              </w:rPr>
              <w:t>设有</w:t>
            </w:r>
            <w:r>
              <w:rPr>
                <w:rFonts w:hint="eastAsia" w:ascii="宋体" w:hAnsi="宋体" w:cs="宋体"/>
                <w:sz w:val="24"/>
              </w:rPr>
              <w:t>防回吸装置。</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hint="eastAsia"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11可实现多</w:t>
            </w:r>
            <w:r>
              <w:rPr>
                <w:rFonts w:hint="eastAsia" w:ascii="宋体" w:hAnsi="宋体" w:cs="宋体"/>
                <w:sz w:val="24"/>
              </w:rPr>
              <w:t>孔喷雾</w:t>
            </w:r>
            <w:r>
              <w:rPr>
                <w:rFonts w:hint="eastAsia" w:ascii="宋体" w:hAnsi="宋体" w:cs="宋体"/>
                <w:sz w:val="24"/>
                <w:lang w:val="en-US" w:eastAsia="zh-CN"/>
              </w:rPr>
              <w:t>（三孔或四孔等）</w:t>
            </w:r>
            <w:r>
              <w:rPr>
                <w:rFonts w:hint="eastAsia" w:ascii="宋体" w:hAnsi="宋体" w:cs="宋体"/>
                <w:sz w:val="24"/>
              </w:rPr>
              <w:t>，</w:t>
            </w:r>
            <w:r>
              <w:rPr>
                <w:rFonts w:hint="eastAsia" w:ascii="宋体" w:hAnsi="宋体" w:cs="宋体"/>
                <w:sz w:val="24"/>
                <w:lang w:val="en-US" w:eastAsia="zh-CN"/>
              </w:rPr>
              <w:t>实现较好冷却效果</w:t>
            </w:r>
            <w:r>
              <w:rPr>
                <w:rFonts w:hint="eastAsia" w:ascii="宋体" w:hAnsi="宋体" w:cs="宋体"/>
                <w:sz w:val="24"/>
              </w:rPr>
              <w:t>，机头</w:t>
            </w:r>
            <w:r>
              <w:rPr>
                <w:rFonts w:hint="eastAsia" w:ascii="宋体" w:hAnsi="宋体" w:cs="宋体"/>
                <w:sz w:val="24"/>
                <w:lang w:val="en-US" w:eastAsia="zh-CN"/>
              </w:rPr>
              <w:t>洁净卫生</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hint="default" w:ascii="宋体" w:hAnsi="宋体" w:eastAsia="宋体" w:cs="宋体"/>
                <w:i/>
                <w:sz w:val="24"/>
                <w:lang w:val="en-US" w:eastAsia="zh-CN"/>
              </w:rPr>
            </w:pPr>
            <w:r>
              <w:rPr>
                <w:rFonts w:hint="eastAsia" w:ascii="宋体" w:hAnsi="宋体" w:cs="宋体"/>
                <w:sz w:val="24"/>
                <w:lang w:val="en-US" w:eastAsia="zh-CN"/>
              </w:rPr>
              <w:t>12</w:t>
            </w:r>
            <w:r>
              <w:rPr>
                <w:rFonts w:hint="eastAsia" w:ascii="宋体" w:hAnsi="宋体" w:cs="宋体"/>
                <w:sz w:val="24"/>
              </w:rPr>
              <w:t>钛金表面</w:t>
            </w:r>
            <w:r>
              <w:rPr>
                <w:rFonts w:hint="eastAsia" w:ascii="宋体" w:hAnsi="宋体" w:cs="宋体"/>
                <w:sz w:val="24"/>
                <w:lang w:val="en-US" w:eastAsia="zh-CN"/>
              </w:rPr>
              <w:t>易于清洁</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cs="宋体"/>
                <w:sz w:val="24"/>
                <w:lang w:val="en-US" w:eastAsia="zh-CN"/>
              </w:rPr>
              <w:t>13</w:t>
            </w:r>
            <w:r>
              <w:rPr>
                <w:rFonts w:hint="eastAsia" w:ascii="宋体" w:hAnsi="宋体" w:cs="宋体"/>
                <w:sz w:val="24"/>
              </w:rPr>
              <w:t>按压快接式带</w:t>
            </w:r>
            <w:r>
              <w:rPr>
                <w:rFonts w:ascii="宋体" w:hAnsi="宋体" w:cs="宋体"/>
                <w:sz w:val="24"/>
              </w:rPr>
              <w:t>光纤</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hint="eastAsia"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14</w:t>
            </w:r>
            <w:r>
              <w:rPr>
                <w:rFonts w:hint="eastAsia" w:ascii="宋体" w:hAnsi="宋体" w:cs="宋体"/>
                <w:sz w:val="24"/>
              </w:rPr>
              <w:t>接口可兼容</w:t>
            </w:r>
            <w:r>
              <w:rPr>
                <w:rFonts w:hint="eastAsia" w:ascii="宋体" w:hAnsi="宋体" w:cs="宋体"/>
                <w:sz w:val="24"/>
                <w:lang w:val="en-US" w:eastAsia="zh-CN"/>
              </w:rPr>
              <w:t>但不限于</w:t>
            </w:r>
            <w:r>
              <w:rPr>
                <w:rFonts w:hint="eastAsia" w:ascii="宋体" w:hAnsi="宋体" w:cs="宋体"/>
                <w:sz w:val="24"/>
              </w:rPr>
              <w:t>SIRONA/W&amp;H/KAVO和NSK快接头</w:t>
            </w:r>
            <w:r>
              <w:rPr>
                <w:rFonts w:hint="eastAsia" w:ascii="宋体" w:hAnsi="宋体" w:cs="宋体"/>
                <w:sz w:val="24"/>
                <w:lang w:val="en-US" w:eastAsia="zh-CN"/>
              </w:rPr>
              <w:t>等</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rFonts w:hint="eastAsia" w:eastAsia="宋体"/>
          <w:szCs w:val="24"/>
          <w:lang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961" w:type="dxa"/>
          </w:tcPr>
          <w:p>
            <w:pPr>
              <w:tabs>
                <w:tab w:val="left" w:pos="600"/>
              </w:tabs>
              <w:rPr>
                <w:color w:val="000000" w:themeColor="text1"/>
                <w14:textFill>
                  <w14:solidFill>
                    <w14:schemeClr w14:val="tx1"/>
                  </w14:solidFill>
                </w14:textFill>
              </w:rPr>
            </w:pPr>
            <w:r>
              <w:rPr>
                <w:rFonts w:hint="eastAsia"/>
                <w:color w:val="000000" w:themeColor="text1"/>
                <w14:textFill>
                  <w14:solidFill>
                    <w14:schemeClr w14:val="tx1"/>
                  </w14:solidFill>
                </w14:textFill>
              </w:rPr>
              <w:t>光纤高速涡轮手机</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14:textFill>
                  <w14:solidFill>
                    <w14:schemeClr w14:val="tx1"/>
                  </w14:solidFill>
                </w14:textFill>
              </w:rPr>
              <w:t>6</w:t>
            </w:r>
          </w:p>
        </w:tc>
        <w:tc>
          <w:tcPr>
            <w:tcW w:w="7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支</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961" w:type="dxa"/>
          </w:tcPr>
          <w:p>
            <w:r>
              <w:rPr>
                <w:rFonts w:hint="eastAsia"/>
              </w:rPr>
              <w:t>使用说明书</w:t>
            </w:r>
          </w:p>
        </w:tc>
        <w:tc>
          <w:tcPr>
            <w:tcW w:w="709" w:type="dxa"/>
          </w:tcPr>
          <w:p>
            <w:pPr>
              <w:ind w:firstLine="210" w:firstLineChars="100"/>
              <w:rPr>
                <w:rFonts w:hint="eastAsia" w:ascii="新宋体" w:hAnsi="新宋体" w:eastAsia="新宋体" w:cs="Arial"/>
                <w:color w:val="000000" w:themeColor="text1"/>
                <w:kern w:val="0"/>
                <w:szCs w:val="21"/>
                <w:lang w:eastAsia="zh-CN"/>
                <w14:textFill>
                  <w14:solidFill>
                    <w14:schemeClr w14:val="tx1"/>
                  </w14:solidFill>
                </w14:textFill>
              </w:rPr>
            </w:pPr>
            <w:r>
              <w:rPr>
                <w:rFonts w:hint="eastAsia" w:eastAsia="新宋体"/>
                <w:lang w:val="en-US" w:eastAsia="zh-CN"/>
              </w:rPr>
              <w:t>7</w:t>
            </w:r>
          </w:p>
        </w:tc>
        <w:tc>
          <w:tcPr>
            <w:tcW w:w="7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961" w:type="dxa"/>
          </w:tcPr>
          <w:p>
            <w:r>
              <w:rPr>
                <w:rFonts w:hint="eastAsia"/>
              </w:rPr>
              <w:t>疏通针</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枚</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961" w:type="dxa"/>
          </w:tcPr>
          <w:p>
            <w:r>
              <w:rPr>
                <w:rFonts w:hint="eastAsia"/>
              </w:rPr>
              <w:t>注油嘴</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个</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961" w:type="dxa"/>
          </w:tcPr>
          <w:p>
            <w:pPr>
              <w:rPr>
                <w:rFonts w:ascii="宋体" w:hAnsi="宋体"/>
                <w:szCs w:val="21"/>
              </w:rPr>
            </w:pPr>
            <w:r>
              <w:rPr>
                <w:rFonts w:hint="eastAsia"/>
              </w:rPr>
              <w:t>合格证</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本</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961" w:type="dxa"/>
          </w:tcPr>
          <w:p>
            <w:pPr>
              <w:rPr>
                <w:rFonts w:ascii="宋体" w:hAnsi="宋体"/>
                <w:szCs w:val="21"/>
              </w:rPr>
            </w:pPr>
            <w:r>
              <w:rPr>
                <w:rFonts w:hint="eastAsia"/>
              </w:rPr>
              <w:t>保修卡</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本</w:t>
            </w:r>
          </w:p>
        </w:tc>
        <w:tc>
          <w:tcPr>
            <w:tcW w:w="1011" w:type="dxa"/>
          </w:tcPr>
          <w:p>
            <w:pPr>
              <w:rPr>
                <w:rFonts w:ascii="宋体" w:hAnsi="宋体"/>
                <w:color w:val="000000" w:themeColor="text1"/>
                <w:szCs w:val="21"/>
                <w14:textFill>
                  <w14:solidFill>
                    <w14:schemeClr w14:val="tx1"/>
                  </w14:solidFill>
                </w14:textFill>
              </w:rPr>
            </w:pPr>
          </w:p>
        </w:tc>
      </w:tr>
    </w:tbl>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6"/>
        <w:spacing w:before="120" w:beforeLines="50" w:after="120" w:afterLines="50"/>
        <w:jc w:val="both"/>
        <w:rPr>
          <w:rFonts w:hint="eastAsia"/>
          <w:szCs w:val="24"/>
        </w:rPr>
      </w:pPr>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Theme="minorEastAsia" w:hAnsiTheme="minorEastAsia" w:eastAsiaTheme="minorEastAsia"/>
                <w:b/>
                <w:bCs/>
                <w:szCs w:val="21"/>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FF0000"/>
                <w:szCs w:val="21"/>
                <w:highlight w:val="none"/>
                <w:lang w:val="en-US" w:eastAsia="zh-CN"/>
              </w:rPr>
              <w:t>5、</w:t>
            </w:r>
            <w:r>
              <w:rPr>
                <w:rFonts w:hint="eastAsia" w:ascii="Times New Roman" w:hAnsi="Times New Roman" w:eastAsia="宋体" w:cs="Times New Roman"/>
                <w:bCs/>
                <w:color w:val="FF0000"/>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bCs/>
                <w:color w:val="auto"/>
                <w:szCs w:val="21"/>
                <w:highlight w:val="none"/>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提出申请，</w:t>
            </w:r>
            <w:r>
              <w:rPr>
                <w:rFonts w:hint="eastAsia"/>
                <w:bCs/>
                <w:color w:val="auto"/>
                <w:szCs w:val="21"/>
                <w:highlight w:val="none"/>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bCs/>
                <w:color w:val="auto"/>
                <w:szCs w:val="21"/>
                <w:highlight w:val="none"/>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6"/>
        <w:spacing w:before="120" w:beforeLines="50" w:after="120" w:afterLines="50"/>
        <w:jc w:val="both"/>
        <w:rPr>
          <w:rFonts w:hint="eastAsia"/>
          <w:szCs w:val="24"/>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0" w:name="_Toc18222"/>
      <w:r>
        <w:rPr>
          <w:rFonts w:hint="eastAsia" w:hAnsi="宋体"/>
          <w:b/>
          <w:color w:val="auto"/>
          <w:highlight w:val="none"/>
          <w:lang w:val="en-US" w:eastAsia="zh-CN"/>
        </w:rPr>
        <w:t>七．</w:t>
      </w:r>
      <w:r>
        <w:rPr>
          <w:rFonts w:hint="eastAsia" w:hAnsi="宋体"/>
          <w:b/>
          <w:color w:val="auto"/>
          <w:highlight w:val="none"/>
        </w:rPr>
        <w:t>综合评分表</w:t>
      </w:r>
      <w:bookmarkEnd w:id="0"/>
    </w:p>
    <w:tbl>
      <w:tblPr>
        <w:tblStyle w:val="54"/>
        <w:tblW w:w="8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209"/>
        <w:gridCol w:w="5941"/>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20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4" w:space="0"/>
              <w:right w:val="single" w:color="auto" w:sz="8" w:space="0"/>
            </w:tcBorders>
            <w:vAlign w:val="center"/>
          </w:tcPr>
          <w:p>
            <w:pPr>
              <w:pStyle w:val="295"/>
              <w:numPr>
                <w:ilvl w:val="0"/>
                <w:numId w:val="2"/>
              </w:numPr>
              <w:spacing w:line="360" w:lineRule="auto"/>
              <w:ind w:firstLineChars="0"/>
              <w:jc w:val="right"/>
              <w:rPr>
                <w:rFonts w:ascii="宋体" w:hAnsi="宋体"/>
                <w:color w:val="auto"/>
                <w:szCs w:val="21"/>
                <w:highlight w:val="none"/>
              </w:rPr>
            </w:pP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ascii="宋体" w:hAnsi="宋体" w:cs="宋体"/>
                <w:szCs w:val="21"/>
                <w:lang w:eastAsia="zh-CN"/>
              </w:rPr>
              <w:t>扣完为止</w:t>
            </w:r>
            <w:r>
              <w:rPr>
                <w:rFonts w:hint="eastAsia" w:ascii="宋体" w:hAnsi="宋体" w:cs="宋体"/>
                <w:szCs w:val="21"/>
              </w:rPr>
              <w:t>。</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6" w:type="dxa"/>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94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pPr>
        <w:ind w:left="-420"/>
      </w:pPr>
    </w:lvl>
  </w:abstractNum>
  <w:abstractNum w:abstractNumId="1">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B55"/>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3FA"/>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35B"/>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17BC4"/>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9316C0A"/>
    <w:rsid w:val="0AD31734"/>
    <w:rsid w:val="0AE77BE5"/>
    <w:rsid w:val="0FB06823"/>
    <w:rsid w:val="0FE53BBD"/>
    <w:rsid w:val="12D214FB"/>
    <w:rsid w:val="12FE2E22"/>
    <w:rsid w:val="13AB1E25"/>
    <w:rsid w:val="13BE4524"/>
    <w:rsid w:val="149A5357"/>
    <w:rsid w:val="155F2FA0"/>
    <w:rsid w:val="16923059"/>
    <w:rsid w:val="1737417C"/>
    <w:rsid w:val="192A1424"/>
    <w:rsid w:val="19CC6A6F"/>
    <w:rsid w:val="1A180936"/>
    <w:rsid w:val="1A807061"/>
    <w:rsid w:val="1D2B2FE6"/>
    <w:rsid w:val="1D2E5951"/>
    <w:rsid w:val="20C13A8E"/>
    <w:rsid w:val="21527E5F"/>
    <w:rsid w:val="21A73358"/>
    <w:rsid w:val="235C026C"/>
    <w:rsid w:val="250037F0"/>
    <w:rsid w:val="2D13499A"/>
    <w:rsid w:val="2F67542B"/>
    <w:rsid w:val="329201D3"/>
    <w:rsid w:val="338C0484"/>
    <w:rsid w:val="36737028"/>
    <w:rsid w:val="3A687D4B"/>
    <w:rsid w:val="3ACD1190"/>
    <w:rsid w:val="3B11366B"/>
    <w:rsid w:val="3BEB050A"/>
    <w:rsid w:val="3C7D7677"/>
    <w:rsid w:val="3DED286B"/>
    <w:rsid w:val="411863A7"/>
    <w:rsid w:val="4A920792"/>
    <w:rsid w:val="4E7C753F"/>
    <w:rsid w:val="505134AB"/>
    <w:rsid w:val="514C4B89"/>
    <w:rsid w:val="51EA72D5"/>
    <w:rsid w:val="52B9434F"/>
    <w:rsid w:val="565634DB"/>
    <w:rsid w:val="571B1C13"/>
    <w:rsid w:val="575E1F1B"/>
    <w:rsid w:val="57E55E07"/>
    <w:rsid w:val="58FC2915"/>
    <w:rsid w:val="598E0A22"/>
    <w:rsid w:val="5BE32CFF"/>
    <w:rsid w:val="5D6B104C"/>
    <w:rsid w:val="5EB631EE"/>
    <w:rsid w:val="5EBA1DB1"/>
    <w:rsid w:val="60094E15"/>
    <w:rsid w:val="6010702F"/>
    <w:rsid w:val="61202D75"/>
    <w:rsid w:val="631753EB"/>
    <w:rsid w:val="6405305E"/>
    <w:rsid w:val="640676A6"/>
    <w:rsid w:val="65147B6C"/>
    <w:rsid w:val="67157E2A"/>
    <w:rsid w:val="67227C8B"/>
    <w:rsid w:val="6828607D"/>
    <w:rsid w:val="6A881D53"/>
    <w:rsid w:val="6C9705C3"/>
    <w:rsid w:val="6CC81DB0"/>
    <w:rsid w:val="6E7C7821"/>
    <w:rsid w:val="6E887300"/>
    <w:rsid w:val="6F0027AD"/>
    <w:rsid w:val="6F743592"/>
    <w:rsid w:val="71585AAE"/>
    <w:rsid w:val="7BEB367F"/>
    <w:rsid w:val="7EB5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2223</Words>
  <Characters>436</Characters>
  <Lines>3</Lines>
  <Paragraphs>5</Paragraphs>
  <TotalTime>4</TotalTime>
  <ScaleCrop>false</ScaleCrop>
  <LinksUpToDate>false</LinksUpToDate>
  <CharactersWithSpaces>2654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2021-05-28T08:08:00Z</dcterms:created>
  <dc:creator>Chinese User</dc:creator>
  <cp:lastModifiedBy>TIGER</cp:lastModifiedBy>
  <cp:lastPrinted>2021-05-21T01:28:00Z</cp:lastPrinted>
  <dcterms:modified xsi:type="dcterms:W3CDTF">2021-12-24T00:12:53Z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E83CC4252E7F41EEBC8968EDF300B235</vt:lpwstr>
  </property>
</Properties>
</file>