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106A39">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06A39" w:rsidRPr="00106A39">
        <w:rPr>
          <w:rFonts w:ascii="宋体" w:hAnsi="宋体" w:cs="宋体" w:hint="eastAsia"/>
          <w:b/>
          <w:sz w:val="28"/>
          <w:szCs w:val="28"/>
        </w:rPr>
        <w:t>单光子探测器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06A39">
        <w:rPr>
          <w:rFonts w:hint="eastAsia"/>
          <w:sz w:val="24"/>
        </w:rPr>
        <w:t>单光子探测器</w:t>
      </w:r>
      <w:r w:rsidRPr="00D80CF6">
        <w:rPr>
          <w:rFonts w:ascii="宋体" w:hAnsi="宋体" w:hint="eastAsia"/>
          <w:sz w:val="24"/>
        </w:rPr>
        <w:t>）为进口产品，则投标人必须为提供所投产品（</w:t>
      </w:r>
      <w:r w:rsidR="00106A39">
        <w:rPr>
          <w:rFonts w:hint="eastAsia"/>
          <w:sz w:val="24"/>
        </w:rPr>
        <w:t>单光子探测器</w:t>
      </w:r>
      <w:r w:rsidRPr="00D80CF6">
        <w:rPr>
          <w:rFonts w:ascii="宋体" w:hAnsi="宋体" w:hint="eastAsia"/>
          <w:sz w:val="24"/>
        </w:rPr>
        <w:t>）的制造商或合法代理商或合法授权供应商（提供相关证明）；若所投产品（</w:t>
      </w:r>
      <w:r w:rsidR="00106A39">
        <w:rPr>
          <w:rFonts w:hint="eastAsia"/>
          <w:sz w:val="24"/>
        </w:rPr>
        <w:t>单光子探测器</w:t>
      </w:r>
      <w:r w:rsidRPr="00D80CF6">
        <w:rPr>
          <w:rFonts w:ascii="宋体" w:hAnsi="宋体" w:hint="eastAsia"/>
          <w:sz w:val="24"/>
        </w:rPr>
        <w:t>）是国内产品（非进口产品），则投标人不需要提供其为所投产品的制造商或合法代理商或合法授权供应商的证明；</w:t>
      </w:r>
    </w:p>
    <w:p w:rsidR="005B6C56" w:rsidRDefault="005B6C56" w:rsidP="005B6C56">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5B6C56" w:rsidP="005B6C56">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06A39" w:rsidP="00D26420">
            <w:pPr>
              <w:jc w:val="center"/>
              <w:rPr>
                <w:b/>
                <w:bCs/>
                <w:color w:val="000000" w:themeColor="text1"/>
                <w:szCs w:val="21"/>
              </w:rPr>
            </w:pPr>
            <w:r w:rsidRPr="00106A39">
              <w:rPr>
                <w:rFonts w:hint="eastAsia"/>
                <w:b/>
                <w:bCs/>
                <w:color w:val="000000" w:themeColor="text1"/>
                <w:szCs w:val="21"/>
              </w:rPr>
              <w:t>单光子探测器</w:t>
            </w:r>
          </w:p>
        </w:tc>
        <w:tc>
          <w:tcPr>
            <w:tcW w:w="1018" w:type="dxa"/>
            <w:vAlign w:val="center"/>
          </w:tcPr>
          <w:p w:rsidR="00390CE6" w:rsidRPr="00912407" w:rsidRDefault="00106A39"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106A39"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106A39" w:rsidP="000C5345">
            <w:pPr>
              <w:jc w:val="center"/>
              <w:rPr>
                <w:b/>
                <w:bCs/>
                <w:color w:val="000000" w:themeColor="text1"/>
                <w:szCs w:val="21"/>
              </w:rPr>
            </w:pPr>
            <w:r>
              <w:rPr>
                <w:rFonts w:hint="eastAsia"/>
                <w:b/>
                <w:bCs/>
                <w:color w:val="000000" w:themeColor="text1"/>
                <w:szCs w:val="21"/>
              </w:rPr>
              <w:t>6.6</w:t>
            </w:r>
          </w:p>
        </w:tc>
      </w:tr>
    </w:tbl>
    <w:p w:rsidR="00A94AB7" w:rsidRPr="00390CE6" w:rsidRDefault="006E0AF7" w:rsidP="00CF7D91">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526714" w:rsidRPr="006F0DAC" w:rsidTr="00AA1B1D">
        <w:trPr>
          <w:trHeight w:val="450"/>
        </w:trPr>
        <w:tc>
          <w:tcPr>
            <w:tcW w:w="671" w:type="dxa"/>
            <w:vMerge w:val="restart"/>
          </w:tcPr>
          <w:p w:rsidR="00526714" w:rsidRPr="006F0DAC" w:rsidRDefault="00526714"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526714" w:rsidRPr="006F0DAC" w:rsidRDefault="00526714" w:rsidP="000C5345">
            <w:pPr>
              <w:widowControl/>
              <w:jc w:val="left"/>
              <w:rPr>
                <w:rFonts w:ascii="宋体" w:hAnsi="宋体"/>
                <w:kern w:val="0"/>
                <w:szCs w:val="21"/>
              </w:rPr>
            </w:pPr>
            <w:r w:rsidRPr="00106A39">
              <w:rPr>
                <w:rFonts w:hint="eastAsia"/>
                <w:b/>
                <w:bCs/>
                <w:color w:val="000000" w:themeColor="text1"/>
                <w:szCs w:val="21"/>
              </w:rPr>
              <w:t>单光子探测器</w:t>
            </w:r>
          </w:p>
        </w:tc>
        <w:tc>
          <w:tcPr>
            <w:tcW w:w="4819" w:type="dxa"/>
          </w:tcPr>
          <w:p w:rsidR="00526714" w:rsidRPr="006F0DAC" w:rsidRDefault="001E1499" w:rsidP="00CF7D91">
            <w:pPr>
              <w:widowControl/>
              <w:jc w:val="left"/>
              <w:rPr>
                <w:rFonts w:ascii="宋体" w:hAnsi="宋体"/>
                <w:kern w:val="0"/>
                <w:szCs w:val="21"/>
              </w:rPr>
            </w:pPr>
            <w:r>
              <w:rPr>
                <w:rFonts w:ascii="新宋体" w:eastAsia="新宋体" w:hAnsi="新宋体" w:cs="Arial Unicode MS" w:hint="eastAsia"/>
                <w:szCs w:val="21"/>
              </w:rPr>
              <w:t>▲</w:t>
            </w:r>
            <w:r w:rsidR="00526714" w:rsidRPr="006F0DAC">
              <w:rPr>
                <w:rFonts w:ascii="宋体" w:hAnsi="宋体" w:hint="eastAsia"/>
                <w:kern w:val="0"/>
                <w:szCs w:val="21"/>
              </w:rPr>
              <w:t>1.</w:t>
            </w:r>
            <w:r w:rsidR="00526714">
              <w:rPr>
                <w:rFonts w:ascii="宋体" w:hAnsi="宋体" w:hint="eastAsia"/>
                <w:kern w:val="0"/>
                <w:szCs w:val="21"/>
              </w:rPr>
              <w:t>1</w:t>
            </w:r>
            <w:r w:rsidR="00526714" w:rsidRPr="006F0DAC">
              <w:rPr>
                <w:rFonts w:ascii="宋体" w:hAnsi="宋体" w:cs="宋体" w:hint="eastAsia"/>
                <w:szCs w:val="21"/>
              </w:rPr>
              <w:t>。</w:t>
            </w:r>
            <w:r w:rsidR="00526714">
              <w:rPr>
                <w:rFonts w:ascii="宋体" w:hAnsi="宋体" w:hint="eastAsia"/>
                <w:sz w:val="24"/>
              </w:rPr>
              <w:t>芯片规格：彩色 CMOS芯片,</w:t>
            </w:r>
            <w:r w:rsidR="00C94305">
              <w:rPr>
                <w:rFonts w:ascii="宋体" w:hAnsi="宋体" w:hint="eastAsia"/>
                <w:sz w:val="24"/>
              </w:rPr>
              <w:t>≥</w:t>
            </w:r>
            <w:r w:rsidR="00526714" w:rsidRPr="004105F3">
              <w:rPr>
                <w:rFonts w:ascii="宋体" w:hAnsi="宋体"/>
                <w:sz w:val="24"/>
              </w:rPr>
              <w:t>1</w:t>
            </w:r>
            <w:r w:rsidR="00526714" w:rsidRPr="004105F3">
              <w:rPr>
                <w:rFonts w:ascii="宋体" w:hAnsi="宋体" w:hint="eastAsia"/>
                <w:sz w:val="24"/>
              </w:rPr>
              <w:t>/</w:t>
            </w:r>
            <w:r w:rsidR="00526714" w:rsidRPr="004105F3">
              <w:rPr>
                <w:rFonts w:ascii="宋体" w:hAnsi="宋体"/>
                <w:sz w:val="24"/>
              </w:rPr>
              <w:t>1.8</w:t>
            </w:r>
            <w:r w:rsidR="00526714" w:rsidRPr="004105F3">
              <w:rPr>
                <w:rFonts w:ascii="宋体" w:hAnsi="宋体" w:hint="eastAsia"/>
                <w:sz w:val="24"/>
              </w:rPr>
              <w:t>英寸，</w:t>
            </w:r>
            <w:r w:rsidR="00C94305">
              <w:rPr>
                <w:rFonts w:ascii="宋体" w:hAnsi="宋体" w:hint="eastAsia"/>
                <w:sz w:val="24"/>
              </w:rPr>
              <w:t>≥</w:t>
            </w:r>
            <w:r w:rsidR="00526714" w:rsidRPr="004105F3">
              <w:rPr>
                <w:rFonts w:ascii="宋体" w:hAnsi="宋体" w:hint="eastAsia"/>
                <w:sz w:val="24"/>
              </w:rPr>
              <w:t>6.91X4.92mm</w:t>
            </w:r>
            <w:r w:rsidR="00526714">
              <w:rPr>
                <w:rFonts w:ascii="宋体" w:hAnsi="宋体" w:hint="eastAsia"/>
                <w:sz w:val="24"/>
              </w:rPr>
              <w:t>，</w:t>
            </w:r>
            <w:r w:rsidR="00CF7D91">
              <w:rPr>
                <w:rFonts w:ascii="宋体" w:hAnsi="宋体" w:hint="eastAsia"/>
                <w:sz w:val="24"/>
              </w:rPr>
              <w:t>物理</w:t>
            </w:r>
            <w:r w:rsidR="00526714">
              <w:rPr>
                <w:rFonts w:ascii="宋体" w:hAnsi="宋体" w:hint="eastAsia"/>
                <w:sz w:val="24"/>
              </w:rPr>
              <w:t>像素：</w:t>
            </w:r>
            <w:r w:rsidR="00C94305">
              <w:rPr>
                <w:rFonts w:ascii="宋体" w:hAnsi="宋体" w:hint="eastAsia"/>
                <w:sz w:val="24"/>
              </w:rPr>
              <w:t>≥</w:t>
            </w:r>
            <w:r w:rsidR="00526714">
              <w:rPr>
                <w:rFonts w:ascii="宋体" w:hAnsi="宋体" w:hint="eastAsia"/>
                <w:sz w:val="24"/>
              </w:rPr>
              <w:t>590万</w:t>
            </w:r>
          </w:p>
        </w:tc>
        <w:tc>
          <w:tcPr>
            <w:tcW w:w="1276" w:type="dxa"/>
          </w:tcPr>
          <w:p w:rsidR="00526714" w:rsidRPr="006F0DAC" w:rsidRDefault="00095413" w:rsidP="00DD0471">
            <w:pPr>
              <w:widowControl/>
              <w:jc w:val="left"/>
              <w:rPr>
                <w:rFonts w:ascii="宋体" w:hAnsi="宋体"/>
                <w:kern w:val="0"/>
                <w:szCs w:val="21"/>
              </w:rPr>
            </w:pPr>
            <w:r>
              <w:rPr>
                <w:rFonts w:ascii="宋体" w:hAnsi="宋体" w:hint="eastAsia"/>
                <w:kern w:val="0"/>
                <w:szCs w:val="21"/>
              </w:rPr>
              <w:t>提供证明资料</w:t>
            </w:r>
          </w:p>
        </w:tc>
      </w:tr>
      <w:tr w:rsidR="00526714" w:rsidRPr="006F0DAC" w:rsidTr="00AA1B1D">
        <w:trPr>
          <w:trHeight w:val="450"/>
        </w:trPr>
        <w:tc>
          <w:tcPr>
            <w:tcW w:w="671" w:type="dxa"/>
            <w:vMerge/>
          </w:tcPr>
          <w:p w:rsidR="00526714" w:rsidRPr="006F0DAC" w:rsidRDefault="00526714" w:rsidP="00DD0471">
            <w:pPr>
              <w:widowControl/>
              <w:jc w:val="left"/>
              <w:rPr>
                <w:rFonts w:ascii="宋体" w:hAnsi="宋体"/>
                <w:kern w:val="0"/>
                <w:szCs w:val="21"/>
              </w:rPr>
            </w:pPr>
          </w:p>
        </w:tc>
        <w:tc>
          <w:tcPr>
            <w:tcW w:w="1276" w:type="dxa"/>
            <w:vMerge/>
          </w:tcPr>
          <w:p w:rsidR="00526714" w:rsidRPr="006F0DAC" w:rsidRDefault="00526714" w:rsidP="00DD0471">
            <w:pPr>
              <w:widowControl/>
              <w:jc w:val="left"/>
              <w:rPr>
                <w:rFonts w:ascii="宋体" w:hAnsi="宋体"/>
                <w:kern w:val="0"/>
                <w:szCs w:val="21"/>
              </w:rPr>
            </w:pPr>
          </w:p>
        </w:tc>
        <w:tc>
          <w:tcPr>
            <w:tcW w:w="4819" w:type="dxa"/>
          </w:tcPr>
          <w:p w:rsidR="00526714" w:rsidRPr="006F0DAC" w:rsidRDefault="00526714" w:rsidP="00526714">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2</w:t>
            </w:r>
            <w:r w:rsidRPr="006F0DAC">
              <w:rPr>
                <w:rFonts w:ascii="宋体" w:hAnsi="宋体" w:hint="eastAsia"/>
                <w:szCs w:val="21"/>
              </w:rPr>
              <w:t>。</w:t>
            </w:r>
            <w:r>
              <w:rPr>
                <w:rFonts w:ascii="宋体" w:hAnsi="宋体" w:hint="eastAsia"/>
                <w:sz w:val="24"/>
              </w:rPr>
              <w:t>成像速度：2880X2048相素下：15帧/秒；1440X1024相素下：30帧/秒</w:t>
            </w:r>
          </w:p>
        </w:tc>
        <w:tc>
          <w:tcPr>
            <w:tcW w:w="1276" w:type="dxa"/>
          </w:tcPr>
          <w:p w:rsidR="00526714" w:rsidRPr="006F0DAC" w:rsidRDefault="00526714" w:rsidP="00DD0471">
            <w:pPr>
              <w:widowControl/>
              <w:jc w:val="left"/>
              <w:rPr>
                <w:rFonts w:ascii="宋体" w:hAnsi="宋体"/>
                <w:kern w:val="0"/>
                <w:szCs w:val="21"/>
              </w:rPr>
            </w:pPr>
          </w:p>
        </w:tc>
      </w:tr>
      <w:tr w:rsidR="00526714" w:rsidRPr="006F0DAC" w:rsidTr="00AA1B1D">
        <w:trPr>
          <w:trHeight w:val="450"/>
        </w:trPr>
        <w:tc>
          <w:tcPr>
            <w:tcW w:w="671" w:type="dxa"/>
            <w:vMerge/>
          </w:tcPr>
          <w:p w:rsidR="00526714" w:rsidRPr="006F0DAC" w:rsidRDefault="00526714" w:rsidP="00DD0471">
            <w:pPr>
              <w:widowControl/>
              <w:jc w:val="left"/>
              <w:rPr>
                <w:rFonts w:ascii="宋体" w:hAnsi="宋体"/>
                <w:kern w:val="0"/>
                <w:szCs w:val="21"/>
              </w:rPr>
            </w:pPr>
          </w:p>
        </w:tc>
        <w:tc>
          <w:tcPr>
            <w:tcW w:w="1276" w:type="dxa"/>
            <w:vMerge/>
          </w:tcPr>
          <w:p w:rsidR="00526714" w:rsidRPr="006F0DAC" w:rsidRDefault="00526714" w:rsidP="00DD0471">
            <w:pPr>
              <w:widowControl/>
              <w:jc w:val="left"/>
              <w:rPr>
                <w:rFonts w:ascii="宋体" w:hAnsi="宋体"/>
                <w:kern w:val="0"/>
                <w:szCs w:val="21"/>
              </w:rPr>
            </w:pPr>
          </w:p>
        </w:tc>
        <w:tc>
          <w:tcPr>
            <w:tcW w:w="4819" w:type="dxa"/>
          </w:tcPr>
          <w:p w:rsidR="00526714" w:rsidRPr="006F0DAC" w:rsidRDefault="00526714" w:rsidP="00526714">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3</w:t>
            </w:r>
            <w:r w:rsidRPr="006F0DAC">
              <w:rPr>
                <w:rFonts w:ascii="宋体" w:hAnsi="宋体" w:cs="宋体" w:hint="eastAsia"/>
                <w:szCs w:val="21"/>
              </w:rPr>
              <w:t>。</w:t>
            </w:r>
            <w:r>
              <w:rPr>
                <w:rFonts w:ascii="宋体" w:hAnsi="宋体" w:hint="eastAsia"/>
                <w:sz w:val="24"/>
              </w:rPr>
              <w:t>曝光时间：100微秒至 30秒</w:t>
            </w:r>
          </w:p>
        </w:tc>
        <w:tc>
          <w:tcPr>
            <w:tcW w:w="1276" w:type="dxa"/>
          </w:tcPr>
          <w:p w:rsidR="00526714" w:rsidRPr="006F0DAC" w:rsidRDefault="00526714" w:rsidP="00DD0471">
            <w:pPr>
              <w:widowControl/>
              <w:jc w:val="left"/>
              <w:rPr>
                <w:rFonts w:ascii="宋体" w:hAnsi="宋体"/>
                <w:kern w:val="0"/>
                <w:szCs w:val="21"/>
              </w:rPr>
            </w:pPr>
          </w:p>
        </w:tc>
      </w:tr>
      <w:tr w:rsidR="00526714" w:rsidRPr="006F0DAC" w:rsidTr="00AA1B1D">
        <w:trPr>
          <w:trHeight w:val="450"/>
        </w:trPr>
        <w:tc>
          <w:tcPr>
            <w:tcW w:w="671" w:type="dxa"/>
            <w:vMerge/>
          </w:tcPr>
          <w:p w:rsidR="00526714" w:rsidRPr="006F0DAC" w:rsidRDefault="00526714" w:rsidP="00DD0471">
            <w:pPr>
              <w:widowControl/>
              <w:jc w:val="left"/>
              <w:rPr>
                <w:rFonts w:ascii="宋体" w:hAnsi="宋体"/>
                <w:kern w:val="0"/>
                <w:szCs w:val="21"/>
              </w:rPr>
            </w:pPr>
          </w:p>
        </w:tc>
        <w:tc>
          <w:tcPr>
            <w:tcW w:w="1276" w:type="dxa"/>
            <w:vMerge/>
          </w:tcPr>
          <w:p w:rsidR="00526714" w:rsidRPr="006F0DAC" w:rsidRDefault="00526714" w:rsidP="00DD0471">
            <w:pPr>
              <w:widowControl/>
              <w:jc w:val="left"/>
              <w:rPr>
                <w:rFonts w:ascii="宋体" w:hAnsi="宋体"/>
                <w:kern w:val="0"/>
                <w:szCs w:val="21"/>
              </w:rPr>
            </w:pPr>
          </w:p>
        </w:tc>
        <w:tc>
          <w:tcPr>
            <w:tcW w:w="4819" w:type="dxa"/>
          </w:tcPr>
          <w:p w:rsidR="00526714" w:rsidRPr="006F0DAC" w:rsidRDefault="001E1499" w:rsidP="00526714">
            <w:pPr>
              <w:widowControl/>
              <w:jc w:val="left"/>
              <w:rPr>
                <w:rFonts w:ascii="宋体" w:hAnsi="宋体"/>
                <w:kern w:val="0"/>
                <w:szCs w:val="21"/>
              </w:rPr>
            </w:pPr>
            <w:r>
              <w:rPr>
                <w:rFonts w:ascii="新宋体" w:eastAsia="新宋体" w:hAnsi="新宋体" w:cs="Arial Unicode MS" w:hint="eastAsia"/>
                <w:szCs w:val="21"/>
              </w:rPr>
              <w:t>▲</w:t>
            </w:r>
            <w:r w:rsidR="00526714" w:rsidRPr="006F0DAC">
              <w:rPr>
                <w:rFonts w:ascii="宋体" w:hAnsi="宋体" w:hint="eastAsia"/>
                <w:kern w:val="0"/>
                <w:szCs w:val="21"/>
              </w:rPr>
              <w:t>1.</w:t>
            </w:r>
            <w:r w:rsidR="00526714">
              <w:rPr>
                <w:rFonts w:ascii="宋体" w:hAnsi="宋体" w:hint="eastAsia"/>
                <w:kern w:val="0"/>
                <w:szCs w:val="21"/>
              </w:rPr>
              <w:t>4。</w:t>
            </w:r>
            <w:r w:rsidR="00526714">
              <w:rPr>
                <w:rFonts w:ascii="宋体" w:hAnsi="宋体" w:hint="eastAsia"/>
                <w:sz w:val="24"/>
              </w:rPr>
              <w:t>感光度：等效ISO50-3200</w:t>
            </w:r>
          </w:p>
        </w:tc>
        <w:tc>
          <w:tcPr>
            <w:tcW w:w="1276" w:type="dxa"/>
          </w:tcPr>
          <w:p w:rsidR="00526714" w:rsidRPr="006F0DAC" w:rsidRDefault="00095413" w:rsidP="00DD0471">
            <w:pPr>
              <w:widowControl/>
              <w:jc w:val="left"/>
              <w:rPr>
                <w:rFonts w:ascii="宋体" w:hAnsi="宋体"/>
                <w:kern w:val="0"/>
                <w:szCs w:val="21"/>
              </w:rPr>
            </w:pPr>
            <w:r>
              <w:rPr>
                <w:rFonts w:ascii="宋体" w:hAnsi="宋体" w:hint="eastAsia"/>
                <w:kern w:val="0"/>
                <w:szCs w:val="21"/>
              </w:rPr>
              <w:t>提供证明资料</w:t>
            </w:r>
          </w:p>
        </w:tc>
      </w:tr>
      <w:tr w:rsidR="00526714" w:rsidRPr="006F0DAC" w:rsidTr="00AA1B1D">
        <w:trPr>
          <w:trHeight w:val="450"/>
        </w:trPr>
        <w:tc>
          <w:tcPr>
            <w:tcW w:w="671" w:type="dxa"/>
            <w:vMerge/>
          </w:tcPr>
          <w:p w:rsidR="00526714" w:rsidRPr="006F0DAC" w:rsidRDefault="00526714" w:rsidP="00DD0471">
            <w:pPr>
              <w:widowControl/>
              <w:jc w:val="left"/>
              <w:rPr>
                <w:rFonts w:ascii="宋体" w:hAnsi="宋体"/>
                <w:kern w:val="0"/>
                <w:szCs w:val="21"/>
              </w:rPr>
            </w:pPr>
          </w:p>
        </w:tc>
        <w:tc>
          <w:tcPr>
            <w:tcW w:w="1276" w:type="dxa"/>
            <w:vMerge/>
          </w:tcPr>
          <w:p w:rsidR="00526714" w:rsidRPr="006F0DAC" w:rsidRDefault="00526714" w:rsidP="00DD0471">
            <w:pPr>
              <w:widowControl/>
              <w:jc w:val="left"/>
              <w:rPr>
                <w:rFonts w:ascii="宋体" w:hAnsi="宋体"/>
                <w:kern w:val="0"/>
                <w:szCs w:val="21"/>
              </w:rPr>
            </w:pPr>
          </w:p>
        </w:tc>
        <w:tc>
          <w:tcPr>
            <w:tcW w:w="4819" w:type="dxa"/>
          </w:tcPr>
          <w:p w:rsidR="00526714" w:rsidRPr="006F0DAC" w:rsidRDefault="00526714" w:rsidP="00526714">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5</w:t>
            </w:r>
            <w:r w:rsidRPr="006F0DAC">
              <w:rPr>
                <w:rFonts w:ascii="宋体" w:hAnsi="宋体" w:hint="eastAsia"/>
                <w:szCs w:val="21"/>
              </w:rPr>
              <w:t>。</w:t>
            </w:r>
            <w:r>
              <w:rPr>
                <w:rFonts w:ascii="宋体" w:hAnsi="宋体" w:hint="eastAsia"/>
                <w:sz w:val="24"/>
              </w:rPr>
              <w:t>接口：0.63倍C口</w:t>
            </w:r>
          </w:p>
        </w:tc>
        <w:tc>
          <w:tcPr>
            <w:tcW w:w="1276" w:type="dxa"/>
          </w:tcPr>
          <w:p w:rsidR="00526714" w:rsidRPr="006F0DAC" w:rsidRDefault="00526714"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CF7D91">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C94305" w:rsidRPr="006B2551" w:rsidTr="00F46DA2">
        <w:trPr>
          <w:trHeight w:val="293"/>
          <w:jc w:val="center"/>
        </w:trPr>
        <w:tc>
          <w:tcPr>
            <w:tcW w:w="785" w:type="dxa"/>
            <w:vAlign w:val="center"/>
          </w:tcPr>
          <w:p w:rsidR="00C94305" w:rsidRPr="006B2551" w:rsidRDefault="00C94305" w:rsidP="00F43D97">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center"/>
          </w:tcPr>
          <w:p w:rsidR="00C94305" w:rsidRPr="006B2551" w:rsidRDefault="00C94305" w:rsidP="00C94305">
            <w:pPr>
              <w:rPr>
                <w:rFonts w:ascii="宋体" w:hAnsi="宋体"/>
                <w:color w:val="000000" w:themeColor="text1"/>
                <w:szCs w:val="21"/>
              </w:rPr>
            </w:pPr>
            <w:r>
              <w:rPr>
                <w:rFonts w:ascii="宋体" w:hAnsi="宋体" w:hint="eastAsia"/>
                <w:color w:val="000000" w:themeColor="text1"/>
                <w:szCs w:val="21"/>
              </w:rPr>
              <w:t>主机</w:t>
            </w:r>
          </w:p>
        </w:tc>
        <w:tc>
          <w:tcPr>
            <w:tcW w:w="709" w:type="dxa"/>
            <w:vAlign w:val="center"/>
          </w:tcPr>
          <w:p w:rsidR="00C94305" w:rsidRPr="006B2551" w:rsidRDefault="00C94305" w:rsidP="009C7160">
            <w:pPr>
              <w:jc w:val="center"/>
              <w:rPr>
                <w:rFonts w:ascii="宋体" w:hAnsi="宋体"/>
                <w:color w:val="000000" w:themeColor="text1"/>
                <w:szCs w:val="21"/>
              </w:rPr>
            </w:pPr>
            <w:r>
              <w:rPr>
                <w:rFonts w:ascii="宋体" w:hAnsi="宋体" w:hint="eastAsia"/>
                <w:color w:val="000000" w:themeColor="text1"/>
                <w:szCs w:val="21"/>
              </w:rPr>
              <w:t>1</w:t>
            </w:r>
          </w:p>
        </w:tc>
        <w:tc>
          <w:tcPr>
            <w:tcW w:w="709" w:type="dxa"/>
            <w:vAlign w:val="center"/>
          </w:tcPr>
          <w:p w:rsidR="00C94305" w:rsidRPr="006B2551" w:rsidRDefault="00C94305" w:rsidP="009C7160">
            <w:pPr>
              <w:jc w:val="center"/>
              <w:rPr>
                <w:rFonts w:ascii="宋体" w:hAnsi="宋体"/>
                <w:color w:val="000000" w:themeColor="text1"/>
                <w:szCs w:val="21"/>
              </w:rPr>
            </w:pPr>
            <w:r>
              <w:rPr>
                <w:rFonts w:ascii="宋体" w:hAnsi="宋体" w:hint="eastAsia"/>
                <w:color w:val="000000" w:themeColor="text1"/>
                <w:szCs w:val="21"/>
              </w:rPr>
              <w:t>台</w:t>
            </w:r>
          </w:p>
        </w:tc>
        <w:tc>
          <w:tcPr>
            <w:tcW w:w="1011" w:type="dxa"/>
            <w:vAlign w:val="center"/>
          </w:tcPr>
          <w:p w:rsidR="00C94305" w:rsidRPr="006B2551" w:rsidRDefault="00C94305" w:rsidP="009C7160">
            <w:pPr>
              <w:jc w:val="center"/>
              <w:rPr>
                <w:rFonts w:ascii="宋体" w:hAnsi="宋体"/>
                <w:color w:val="000000" w:themeColor="text1"/>
                <w:szCs w:val="21"/>
              </w:rPr>
            </w:pPr>
          </w:p>
        </w:tc>
      </w:tr>
      <w:tr w:rsidR="00C94305" w:rsidRPr="006B2551" w:rsidTr="00AE5D87">
        <w:trPr>
          <w:trHeight w:val="266"/>
          <w:jc w:val="center"/>
        </w:trPr>
        <w:tc>
          <w:tcPr>
            <w:tcW w:w="785" w:type="dxa"/>
            <w:vAlign w:val="center"/>
          </w:tcPr>
          <w:p w:rsidR="00C94305" w:rsidRPr="006B2551" w:rsidRDefault="00CF7D91" w:rsidP="00F43D97">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C94305" w:rsidRPr="001B43DB" w:rsidRDefault="00C94305" w:rsidP="00205341">
            <w:pPr>
              <w:widowControl/>
              <w:jc w:val="left"/>
              <w:rPr>
                <w:rFonts w:ascii="宋体" w:hAnsi="宋体"/>
                <w:szCs w:val="21"/>
              </w:rPr>
            </w:pPr>
            <w:r>
              <w:rPr>
                <w:rFonts w:ascii="宋体" w:hAnsi="宋体" w:hint="eastAsia"/>
                <w:szCs w:val="21"/>
              </w:rPr>
              <w:t>适配器</w:t>
            </w:r>
          </w:p>
        </w:tc>
        <w:tc>
          <w:tcPr>
            <w:tcW w:w="709" w:type="dxa"/>
            <w:vAlign w:val="bottom"/>
          </w:tcPr>
          <w:p w:rsidR="00C94305" w:rsidRPr="006B2551" w:rsidRDefault="00C9430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C94305" w:rsidRPr="006B2551" w:rsidRDefault="00C94305"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C94305" w:rsidRPr="006B2551" w:rsidRDefault="00C94305" w:rsidP="008A013D">
            <w:pPr>
              <w:rPr>
                <w:rFonts w:ascii="宋体" w:hAnsi="宋体"/>
                <w:color w:val="000000" w:themeColor="text1"/>
                <w:szCs w:val="21"/>
              </w:rPr>
            </w:pPr>
          </w:p>
        </w:tc>
      </w:tr>
      <w:tr w:rsidR="00C94305" w:rsidRPr="006B2551" w:rsidTr="00F46DA2">
        <w:trPr>
          <w:trHeight w:val="266"/>
          <w:jc w:val="center"/>
        </w:trPr>
        <w:tc>
          <w:tcPr>
            <w:tcW w:w="785" w:type="dxa"/>
            <w:vAlign w:val="center"/>
          </w:tcPr>
          <w:p w:rsidR="00C94305" w:rsidRPr="006B2551" w:rsidRDefault="00CF7D91" w:rsidP="00F43D97">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C94305" w:rsidRPr="001B43DB" w:rsidRDefault="00C94305" w:rsidP="00205341">
            <w:pPr>
              <w:widowControl/>
              <w:jc w:val="left"/>
              <w:rPr>
                <w:rFonts w:ascii="宋体" w:hAnsi="宋体"/>
                <w:szCs w:val="21"/>
              </w:rPr>
            </w:pPr>
            <w:r>
              <w:rPr>
                <w:rFonts w:ascii="宋体" w:hAnsi="宋体" w:hint="eastAsia"/>
                <w:szCs w:val="21"/>
              </w:rPr>
              <w:t>数据线</w:t>
            </w:r>
          </w:p>
        </w:tc>
        <w:tc>
          <w:tcPr>
            <w:tcW w:w="709" w:type="dxa"/>
            <w:vAlign w:val="bottom"/>
          </w:tcPr>
          <w:p w:rsidR="00C94305" w:rsidRPr="006B2551" w:rsidRDefault="00C9430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C94305" w:rsidRPr="006B2551" w:rsidRDefault="00C94305"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C94305" w:rsidRPr="006B2551" w:rsidRDefault="00C94305" w:rsidP="008A013D">
            <w:pPr>
              <w:rPr>
                <w:rFonts w:ascii="宋体" w:hAnsi="宋体"/>
                <w:color w:val="000000" w:themeColor="text1"/>
                <w:szCs w:val="21"/>
              </w:rPr>
            </w:pPr>
          </w:p>
        </w:tc>
      </w:tr>
      <w:tr w:rsidR="00C94305" w:rsidRPr="006B2551" w:rsidTr="00F46DA2">
        <w:trPr>
          <w:trHeight w:val="266"/>
          <w:jc w:val="center"/>
        </w:trPr>
        <w:tc>
          <w:tcPr>
            <w:tcW w:w="785" w:type="dxa"/>
            <w:vAlign w:val="center"/>
          </w:tcPr>
          <w:p w:rsidR="00C94305" w:rsidRPr="006B2551" w:rsidRDefault="00CF7D91" w:rsidP="00F43D97">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C94305" w:rsidRPr="001B43DB" w:rsidRDefault="00C94305" w:rsidP="00205341">
            <w:pPr>
              <w:widowControl/>
              <w:jc w:val="left"/>
              <w:rPr>
                <w:rFonts w:ascii="宋体" w:hAnsi="宋体"/>
                <w:szCs w:val="21"/>
              </w:rPr>
            </w:pPr>
            <w:r>
              <w:rPr>
                <w:rFonts w:ascii="宋体" w:hAnsi="宋体" w:hint="eastAsia"/>
                <w:szCs w:val="21"/>
              </w:rPr>
              <w:t>0.63倍C型接口</w:t>
            </w:r>
          </w:p>
        </w:tc>
        <w:tc>
          <w:tcPr>
            <w:tcW w:w="709" w:type="dxa"/>
            <w:vAlign w:val="bottom"/>
          </w:tcPr>
          <w:p w:rsidR="00C94305" w:rsidRPr="006B2551" w:rsidRDefault="00C9430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C94305" w:rsidRPr="006B2551" w:rsidRDefault="00C9430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C94305" w:rsidRPr="006B2551" w:rsidRDefault="00C94305" w:rsidP="008A013D">
            <w:pPr>
              <w:rPr>
                <w:rFonts w:ascii="宋体" w:hAnsi="宋体"/>
                <w:color w:val="000000" w:themeColor="text1"/>
                <w:szCs w:val="21"/>
              </w:rPr>
            </w:pPr>
          </w:p>
        </w:tc>
      </w:tr>
      <w:tr w:rsidR="00C94305" w:rsidRPr="006B2551" w:rsidTr="00F46DA2">
        <w:trPr>
          <w:trHeight w:val="266"/>
          <w:jc w:val="center"/>
        </w:trPr>
        <w:tc>
          <w:tcPr>
            <w:tcW w:w="785" w:type="dxa"/>
            <w:vAlign w:val="center"/>
          </w:tcPr>
          <w:p w:rsidR="00C94305" w:rsidRPr="006B2551" w:rsidRDefault="00CF7D91" w:rsidP="00F43D97">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C94305" w:rsidRPr="001B43DB" w:rsidRDefault="00C94305" w:rsidP="00205341">
            <w:pPr>
              <w:widowControl/>
              <w:jc w:val="left"/>
              <w:rPr>
                <w:rFonts w:ascii="宋体" w:hAnsi="宋体"/>
                <w:szCs w:val="21"/>
              </w:rPr>
            </w:pPr>
            <w:r>
              <w:rPr>
                <w:rFonts w:ascii="宋体" w:hAnsi="宋体" w:hint="eastAsia"/>
                <w:szCs w:val="21"/>
              </w:rPr>
              <w:t>电源线</w:t>
            </w:r>
          </w:p>
        </w:tc>
        <w:tc>
          <w:tcPr>
            <w:tcW w:w="709" w:type="dxa"/>
            <w:vAlign w:val="bottom"/>
          </w:tcPr>
          <w:p w:rsidR="00C94305" w:rsidRPr="006B2551" w:rsidRDefault="00C9430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C94305" w:rsidRPr="006B2551" w:rsidRDefault="00C94305"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C94305" w:rsidRPr="006B2551" w:rsidRDefault="00C94305" w:rsidP="008A013D">
            <w:pPr>
              <w:rPr>
                <w:rFonts w:ascii="宋体" w:hAnsi="宋体"/>
                <w:color w:val="000000" w:themeColor="text1"/>
                <w:szCs w:val="21"/>
              </w:rPr>
            </w:pPr>
          </w:p>
        </w:tc>
      </w:tr>
      <w:tr w:rsidR="00C94305" w:rsidRPr="006B2551" w:rsidTr="005470A9">
        <w:trPr>
          <w:trHeight w:val="266"/>
          <w:jc w:val="center"/>
        </w:trPr>
        <w:tc>
          <w:tcPr>
            <w:tcW w:w="785" w:type="dxa"/>
            <w:vAlign w:val="center"/>
          </w:tcPr>
          <w:p w:rsidR="00C94305" w:rsidRPr="006B2551" w:rsidRDefault="00CF7D91"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C94305" w:rsidRPr="00FE2627" w:rsidRDefault="00C9430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C94305" w:rsidRPr="006B2551" w:rsidRDefault="00C94305"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C94305" w:rsidRPr="006B2551" w:rsidRDefault="00C9430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C94305" w:rsidRPr="006B2551" w:rsidRDefault="00C94305" w:rsidP="0074032C">
            <w:pPr>
              <w:rPr>
                <w:rFonts w:ascii="宋体" w:hAnsi="宋体"/>
                <w:color w:val="000000" w:themeColor="text1"/>
                <w:szCs w:val="21"/>
              </w:rPr>
            </w:pPr>
          </w:p>
        </w:tc>
      </w:tr>
    </w:tbl>
    <w:p w:rsidR="00FC129E" w:rsidRDefault="00FC129E" w:rsidP="005B7FAE"/>
    <w:p w:rsidR="00A94AB7" w:rsidRDefault="00FC129E" w:rsidP="00CF7D91">
      <w:pPr>
        <w:pStyle w:val="2"/>
        <w:spacing w:beforeLines="50" w:before="120" w:afterLines="50" w:after="120"/>
        <w:jc w:val="both"/>
        <w:rPr>
          <w:szCs w:val="24"/>
        </w:rPr>
      </w:pPr>
      <w:r>
        <w:rPr>
          <w:rFonts w:hint="eastAsia"/>
          <w:szCs w:val="24"/>
        </w:rPr>
        <w:lastRenderedPageBreak/>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w:t>
            </w:r>
            <w:r>
              <w:rPr>
                <w:rFonts w:hint="eastAsia"/>
                <w:bCs/>
                <w:szCs w:val="21"/>
              </w:rPr>
              <w:lastRenderedPageBreak/>
              <w:t>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951" w:rsidRDefault="00216951" w:rsidP="006C75A6">
      <w:r>
        <w:separator/>
      </w:r>
    </w:p>
  </w:endnote>
  <w:endnote w:type="continuationSeparator" w:id="0">
    <w:p w:rsidR="00216951" w:rsidRDefault="0021695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054FF">
        <w:pPr>
          <w:pStyle w:val="afe"/>
        </w:pPr>
        <w:r>
          <w:fldChar w:fldCharType="begin"/>
        </w:r>
        <w:r w:rsidR="00E7702A">
          <w:instrText xml:space="preserve"> PAGE   \* MERGEFORMAT </w:instrText>
        </w:r>
        <w:r>
          <w:fldChar w:fldCharType="separate"/>
        </w:r>
        <w:r w:rsidR="00CF7D91" w:rsidRPr="00CF7D91">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054FF">
        <w:pPr>
          <w:pStyle w:val="afe"/>
          <w:jc w:val="right"/>
        </w:pPr>
        <w:r>
          <w:fldChar w:fldCharType="begin"/>
        </w:r>
        <w:r w:rsidR="00E7702A">
          <w:instrText xml:space="preserve"> PAGE   \* MERGEFORMAT </w:instrText>
        </w:r>
        <w:r>
          <w:fldChar w:fldCharType="separate"/>
        </w:r>
        <w:r w:rsidR="00CF7D91" w:rsidRPr="00CF7D91">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951" w:rsidRDefault="00216951" w:rsidP="006C75A6">
      <w:r>
        <w:separator/>
      </w:r>
    </w:p>
  </w:footnote>
  <w:footnote w:type="continuationSeparator" w:id="0">
    <w:p w:rsidR="00216951" w:rsidRDefault="0021695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413"/>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06A39"/>
    <w:rsid w:val="00116CE0"/>
    <w:rsid w:val="001173B8"/>
    <w:rsid w:val="00117F80"/>
    <w:rsid w:val="001215D0"/>
    <w:rsid w:val="001226AF"/>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AF7"/>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499"/>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6951"/>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265"/>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714"/>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C56"/>
    <w:rsid w:val="005B6E4C"/>
    <w:rsid w:val="005B7FAE"/>
    <w:rsid w:val="005C1A01"/>
    <w:rsid w:val="005C22F8"/>
    <w:rsid w:val="005C3F75"/>
    <w:rsid w:val="005C5C7E"/>
    <w:rsid w:val="005C5F0C"/>
    <w:rsid w:val="005C67FA"/>
    <w:rsid w:val="005D34AF"/>
    <w:rsid w:val="005D3D30"/>
    <w:rsid w:val="005D435B"/>
    <w:rsid w:val="005D70F8"/>
    <w:rsid w:val="005D7747"/>
    <w:rsid w:val="005D7C7F"/>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4F5A"/>
    <w:rsid w:val="005F5E7E"/>
    <w:rsid w:val="005F65FA"/>
    <w:rsid w:val="00600240"/>
    <w:rsid w:val="006019FA"/>
    <w:rsid w:val="00602D7C"/>
    <w:rsid w:val="00602E9A"/>
    <w:rsid w:val="0060331E"/>
    <w:rsid w:val="00603706"/>
    <w:rsid w:val="00603C97"/>
    <w:rsid w:val="006046FC"/>
    <w:rsid w:val="006054FF"/>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3F3"/>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97F"/>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6FB"/>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3AB5"/>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561AF"/>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5D36"/>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30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CF7D9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780"/>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D71"/>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773088571">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CB9E9-BFB3-4CF6-8659-A84565E5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1969</Characters>
  <Application>Microsoft Office Word</Application>
  <DocSecurity>0</DocSecurity>
  <Lines>16</Lines>
  <Paragraphs>4</Paragraphs>
  <ScaleCrop>false</ScaleCrop>
  <Company>MS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2020-07-22T00:34:00Z</dcterms:created>
  <dcterms:modified xsi:type="dcterms:W3CDTF">2020-07-22T00:34:00Z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